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C6A" w:rsidRDefault="00FE003E">
      <w:pPr>
        <w:tabs>
          <w:tab w:val="left" w:pos="360"/>
        </w:tabs>
        <w:jc w:val="center"/>
        <w:rPr>
          <w:rFonts w:ascii="Garamond" w:hAnsi="Garamond"/>
          <w:b/>
          <w:sz w:val="24"/>
        </w:rPr>
      </w:pPr>
      <w:r>
        <w:rPr>
          <w:rFonts w:ascii="Garamond" w:hAnsi="Garamond"/>
          <w:b/>
          <w:sz w:val="24"/>
        </w:rPr>
        <w:t>Lecture 4</w:t>
      </w:r>
    </w:p>
    <w:p w:rsidR="00671C6A" w:rsidRDefault="00FE003E">
      <w:pPr>
        <w:tabs>
          <w:tab w:val="left" w:pos="360"/>
        </w:tabs>
        <w:jc w:val="center"/>
        <w:rPr>
          <w:rFonts w:ascii="Garamond" w:hAnsi="Garamond"/>
          <w:b/>
          <w:sz w:val="24"/>
        </w:rPr>
      </w:pPr>
      <w:r>
        <w:rPr>
          <w:rFonts w:ascii="Garamond" w:hAnsi="Garamond"/>
          <w:b/>
          <w:sz w:val="24"/>
        </w:rPr>
        <w:t>CREATING PASSIONBRANDS</w:t>
      </w:r>
    </w:p>
    <w:p w:rsidR="00FE003E" w:rsidRDefault="00FE003E">
      <w:pPr>
        <w:tabs>
          <w:tab w:val="left" w:pos="360"/>
        </w:tabs>
        <w:jc w:val="center"/>
        <w:rPr>
          <w:rFonts w:ascii="Garamond" w:hAnsi="Garamond"/>
          <w:b/>
          <w:sz w:val="24"/>
        </w:rPr>
      </w:pPr>
      <w:r>
        <w:rPr>
          <w:rFonts w:ascii="Garamond" w:hAnsi="Garamond"/>
          <w:b/>
          <w:sz w:val="24"/>
        </w:rPr>
        <w:t>JUST ANOTHER BRAND OR A PASSIONBRAND</w:t>
      </w:r>
    </w:p>
    <w:p w:rsidR="00671C6A" w:rsidRDefault="00671C6A">
      <w:pPr>
        <w:tabs>
          <w:tab w:val="left" w:pos="360"/>
        </w:tabs>
        <w:rPr>
          <w:rFonts w:ascii="Garamond" w:hAnsi="Garamond"/>
          <w:sz w:val="24"/>
        </w:rPr>
      </w:pPr>
    </w:p>
    <w:p w:rsidR="00671C6A" w:rsidRDefault="00671C6A">
      <w:pPr>
        <w:tabs>
          <w:tab w:val="left" w:pos="360"/>
        </w:tabs>
        <w:rPr>
          <w:rFonts w:ascii="Garamond" w:hAnsi="Garamond"/>
          <w:sz w:val="24"/>
        </w:rPr>
      </w:pPr>
    </w:p>
    <w:p w:rsidR="00671C6A" w:rsidRDefault="00671C6A">
      <w:pPr>
        <w:pStyle w:val="Heading2"/>
        <w:rPr>
          <w:rFonts w:ascii="Garamond" w:hAnsi="Garamond"/>
          <w:b/>
          <w:u w:val="single"/>
        </w:rPr>
      </w:pPr>
      <w:r>
        <w:rPr>
          <w:rFonts w:ascii="Garamond" w:hAnsi="Garamond"/>
          <w:b/>
          <w:u w:val="single"/>
        </w:rPr>
        <w:t xml:space="preserve">Overview  </w:t>
      </w:r>
    </w:p>
    <w:p w:rsidR="00FE003E" w:rsidRDefault="00FE003E">
      <w:pPr>
        <w:tabs>
          <w:tab w:val="left" w:pos="360"/>
        </w:tabs>
        <w:rPr>
          <w:rFonts w:ascii="Garamond" w:hAnsi="Garamond"/>
          <w:sz w:val="24"/>
        </w:rPr>
      </w:pPr>
    </w:p>
    <w:p w:rsidR="00671C6A" w:rsidRDefault="00671C6A">
      <w:pPr>
        <w:tabs>
          <w:tab w:val="left" w:pos="360"/>
        </w:tabs>
        <w:rPr>
          <w:rFonts w:ascii="Garamond" w:hAnsi="Garamond"/>
          <w:sz w:val="24"/>
        </w:rPr>
      </w:pPr>
      <w:r>
        <w:rPr>
          <w:rFonts w:ascii="Garamond" w:hAnsi="Garamond"/>
          <w:sz w:val="24"/>
        </w:rPr>
        <w:t xml:space="preserve">This chapter defines the concept that is the focus of the book. Customer-based brand equity (CBBE) is the differential effect that brand knowledge has on consumer response to the marketing of that brand. Brand knowledge is a function of awareness, which relates to consumers’ ability to recognize or recall the brand, and image, which consists of consumers’ perceptions of and associations for the brand. Building awareness requires repeatedly exposing consumers to the brand as well as linking the brand in consumer memory to its product category and to purchase, usage and consumption situations. Creating a positive brand image requires establishing strong, favorable and unique associations for the brand. </w:t>
      </w:r>
    </w:p>
    <w:p w:rsidR="00671C6A" w:rsidRDefault="00671C6A">
      <w:pPr>
        <w:tabs>
          <w:tab w:val="left" w:pos="360"/>
        </w:tabs>
        <w:rPr>
          <w:rFonts w:ascii="Garamond" w:hAnsi="Garamond"/>
          <w:sz w:val="24"/>
        </w:rPr>
      </w:pPr>
    </w:p>
    <w:p w:rsidR="00671C6A" w:rsidRDefault="00671C6A">
      <w:pPr>
        <w:tabs>
          <w:tab w:val="left" w:pos="360"/>
        </w:tabs>
        <w:rPr>
          <w:rFonts w:ascii="Garamond" w:hAnsi="Garamond"/>
          <w:sz w:val="24"/>
        </w:rPr>
      </w:pPr>
      <w:r>
        <w:rPr>
          <w:rFonts w:ascii="Garamond" w:hAnsi="Garamond"/>
          <w:sz w:val="24"/>
        </w:rPr>
        <w:t xml:space="preserve">The chapter outlines the important contribution of brand knowledge to brand equity. Brand knowledge is composed of brand awareness, which is itself a function of recognition and recall, and brand image, which reflects the </w:t>
      </w:r>
      <w:proofErr w:type="gramStart"/>
      <w:r>
        <w:rPr>
          <w:rFonts w:ascii="Garamond" w:hAnsi="Garamond"/>
          <w:sz w:val="24"/>
        </w:rPr>
        <w:t>associations</w:t>
      </w:r>
      <w:proofErr w:type="gramEnd"/>
      <w:r>
        <w:rPr>
          <w:rFonts w:ascii="Garamond" w:hAnsi="Garamond"/>
          <w:sz w:val="24"/>
        </w:rPr>
        <w:t xml:space="preserve"> consumers hold for the brand in memory.</w:t>
      </w:r>
    </w:p>
    <w:p w:rsidR="00671C6A" w:rsidRDefault="00671C6A">
      <w:pPr>
        <w:tabs>
          <w:tab w:val="left" w:pos="360"/>
        </w:tabs>
        <w:rPr>
          <w:rFonts w:ascii="Garamond" w:hAnsi="Garamond"/>
          <w:sz w:val="24"/>
        </w:rPr>
      </w:pPr>
    </w:p>
    <w:p w:rsidR="00671C6A" w:rsidRDefault="00671C6A">
      <w:pPr>
        <w:tabs>
          <w:tab w:val="left" w:pos="360"/>
        </w:tabs>
        <w:rPr>
          <w:rFonts w:ascii="Garamond" w:hAnsi="Garamond"/>
          <w:sz w:val="24"/>
        </w:rPr>
      </w:pPr>
      <w:r>
        <w:rPr>
          <w:rFonts w:ascii="Garamond" w:hAnsi="Garamond"/>
          <w:sz w:val="24"/>
        </w:rPr>
        <w:t xml:space="preserve">Brand awareness is important because 1) it is a necessary condition for inclusion in the set of brands being considered for purchase, 2) in low-involvement decision settings it can be a sufficient condition for choice, and 3) it influences the nature and strength of associations that comprise the brand image. Awareness can be heightened by increasing consumer exposure to the brand and by linking the brand to product category, consumption and usage </w:t>
      </w:r>
      <w:proofErr w:type="gramStart"/>
      <w:r>
        <w:rPr>
          <w:rFonts w:ascii="Garamond" w:hAnsi="Garamond"/>
          <w:sz w:val="24"/>
        </w:rPr>
        <w:t>situations</w:t>
      </w:r>
      <w:proofErr w:type="gramEnd"/>
      <w:r>
        <w:rPr>
          <w:rFonts w:ascii="Garamond" w:hAnsi="Garamond"/>
          <w:sz w:val="24"/>
        </w:rPr>
        <w:t>.</w:t>
      </w:r>
    </w:p>
    <w:p w:rsidR="00671C6A" w:rsidRDefault="00671C6A">
      <w:pPr>
        <w:tabs>
          <w:tab w:val="left" w:pos="360"/>
        </w:tabs>
        <w:rPr>
          <w:rFonts w:ascii="Garamond" w:hAnsi="Garamond"/>
          <w:sz w:val="24"/>
        </w:rPr>
      </w:pPr>
    </w:p>
    <w:p w:rsidR="00671C6A" w:rsidRDefault="00671C6A">
      <w:pPr>
        <w:tabs>
          <w:tab w:val="left" w:pos="360"/>
        </w:tabs>
        <w:rPr>
          <w:rFonts w:ascii="Garamond" w:hAnsi="Garamond"/>
          <w:sz w:val="24"/>
        </w:rPr>
      </w:pPr>
      <w:r>
        <w:rPr>
          <w:rFonts w:ascii="Garamond" w:hAnsi="Garamond"/>
          <w:sz w:val="24"/>
        </w:rPr>
        <w:t xml:space="preserve">A brand’s image reflects all the associations consumers have for a brand in memory. The strength, favorability and uniqueness of the associations affect the response consumers will have to the brand and to its supporting marketing activities. Associations can be about attributes and benefits of the brand, or attitudes toward it. Attributes, which are descriptive features of a brand, can relate to the actual physical components and ingredients of a brand (product-related) or to such things as the price, imagery, feelings and experiences, and personality associated with the brand (non-product-related). </w:t>
      </w:r>
    </w:p>
    <w:p w:rsidR="00671C6A" w:rsidRDefault="00671C6A">
      <w:pPr>
        <w:tabs>
          <w:tab w:val="left" w:pos="360"/>
        </w:tabs>
        <w:rPr>
          <w:rFonts w:ascii="Garamond" w:hAnsi="Garamond"/>
          <w:sz w:val="24"/>
        </w:rPr>
      </w:pPr>
    </w:p>
    <w:p w:rsidR="00671C6A" w:rsidRDefault="00671C6A">
      <w:pPr>
        <w:tabs>
          <w:tab w:val="left" w:pos="360"/>
        </w:tabs>
        <w:rPr>
          <w:rFonts w:ascii="Garamond" w:hAnsi="Garamond"/>
          <w:sz w:val="24"/>
        </w:rPr>
      </w:pPr>
      <w:r>
        <w:rPr>
          <w:rFonts w:ascii="Garamond" w:hAnsi="Garamond"/>
          <w:sz w:val="24"/>
        </w:rPr>
        <w:t xml:space="preserve">Benefits derived from a brand may relate to the functional advantages it provides, the symbolic information it conveys, or the experiential feelings it produces. Attitudes, which represent the highest level of brand associations, reflect consumers’ overall evaluations of a brand and, consequently, often determine their behavior toward it. </w:t>
      </w:r>
    </w:p>
    <w:p w:rsidR="00671C6A" w:rsidRDefault="00671C6A">
      <w:pPr>
        <w:tabs>
          <w:tab w:val="left" w:pos="360"/>
        </w:tabs>
        <w:rPr>
          <w:rFonts w:ascii="Garamond" w:hAnsi="Garamond"/>
          <w:sz w:val="24"/>
        </w:rPr>
      </w:pPr>
    </w:p>
    <w:p w:rsidR="00671C6A" w:rsidRDefault="00671C6A">
      <w:pPr>
        <w:pStyle w:val="BodyText"/>
        <w:rPr>
          <w:rFonts w:ascii="Garamond" w:hAnsi="Garamond"/>
        </w:rPr>
      </w:pPr>
      <w:r>
        <w:rPr>
          <w:rFonts w:ascii="Garamond" w:hAnsi="Garamond"/>
        </w:rPr>
        <w:t xml:space="preserve">The strength of associations depends upon the relevance of information </w:t>
      </w:r>
      <w:proofErr w:type="gramStart"/>
      <w:r>
        <w:rPr>
          <w:rFonts w:ascii="Garamond" w:hAnsi="Garamond"/>
        </w:rPr>
        <w:t>consumers</w:t>
      </w:r>
      <w:proofErr w:type="gramEnd"/>
      <w:r>
        <w:rPr>
          <w:rFonts w:ascii="Garamond" w:hAnsi="Garamond"/>
        </w:rPr>
        <w:t xml:space="preserve"> encounter about the brand and the consistency with which the information is presented over time. Favorability is a function of the desirability or value of the associations in attitude formation and decision-making, and of their deliverability or performance probability.</w:t>
      </w:r>
    </w:p>
    <w:p w:rsidR="00671C6A" w:rsidRDefault="00671C6A">
      <w:pPr>
        <w:tabs>
          <w:tab w:val="left" w:pos="360"/>
        </w:tabs>
        <w:rPr>
          <w:rFonts w:ascii="Garamond" w:hAnsi="Garamond"/>
          <w:sz w:val="24"/>
        </w:rPr>
      </w:pPr>
    </w:p>
    <w:p w:rsidR="00671C6A" w:rsidRDefault="00671C6A">
      <w:pPr>
        <w:tabs>
          <w:tab w:val="left" w:pos="360"/>
        </w:tabs>
        <w:rPr>
          <w:rFonts w:ascii="Garamond" w:hAnsi="Garamond"/>
          <w:sz w:val="24"/>
        </w:rPr>
      </w:pPr>
      <w:r>
        <w:rPr>
          <w:rFonts w:ascii="Garamond" w:hAnsi="Garamond"/>
          <w:sz w:val="24"/>
        </w:rPr>
        <w:t xml:space="preserve">The chapter then outlines the Customer-Based Brand Equity Model, which maintains that building a strong brand involves a series of logical steps: 1) establishing the proper brand </w:t>
      </w:r>
      <w:r>
        <w:rPr>
          <w:rFonts w:ascii="Garamond" w:hAnsi="Garamond"/>
          <w:sz w:val="24"/>
        </w:rPr>
        <w:lastRenderedPageBreak/>
        <w:t xml:space="preserve">identity, 2) creating the appropriate brand meaning, 3) eliciting the right brand responses, and 4) forging appropriate brand relationships with customers. Specifically, according to this model, building a strong brand involves: 1) establishing breadth and depth of brand awareness; 2) creating strong, favorable, and unique brand associations; 3) eliciting positive, accessible brand responses; and 4) forging intense, active brand relationships. Achieving these four steps, in turn, involves establishing six brand building blocks – brand salience, brand performance, brand imagery, brand judgments, brand feelings, and brand resonance. </w:t>
      </w:r>
    </w:p>
    <w:p w:rsidR="00671C6A" w:rsidRDefault="00671C6A">
      <w:pPr>
        <w:tabs>
          <w:tab w:val="left" w:pos="360"/>
        </w:tabs>
        <w:rPr>
          <w:rFonts w:ascii="Garamond" w:hAnsi="Garamond"/>
          <w:sz w:val="24"/>
        </w:rPr>
      </w:pPr>
    </w:p>
    <w:p w:rsidR="00671C6A" w:rsidRDefault="00671C6A">
      <w:pPr>
        <w:tabs>
          <w:tab w:val="left" w:pos="360"/>
        </w:tabs>
        <w:rPr>
          <w:rFonts w:ascii="Garamond" w:hAnsi="Garamond"/>
          <w:sz w:val="24"/>
        </w:rPr>
      </w:pPr>
      <w:r>
        <w:rPr>
          <w:rFonts w:ascii="Garamond" w:hAnsi="Garamond"/>
          <w:sz w:val="24"/>
        </w:rPr>
        <w:t xml:space="preserve">The strongest brands excel on all six of these dimensions and thus fully execute all four steps in building a brand. With the CBBE model, the most valuable brand building block, brand resonance, occurs when all the other core brand values are completely “in sync” with respect to customers’ needs, wants, and desires. </w:t>
      </w:r>
      <w:r>
        <w:rPr>
          <w:rFonts w:ascii="Garamond" w:hAnsi="Garamond"/>
          <w:i/>
          <w:sz w:val="24"/>
        </w:rPr>
        <w:t xml:space="preserve">In other words, brand resonance reflects a completely harmonious relationship between customers and the brand. </w:t>
      </w:r>
      <w:r>
        <w:rPr>
          <w:rFonts w:ascii="Garamond" w:hAnsi="Garamond"/>
          <w:sz w:val="24"/>
        </w:rPr>
        <w:t xml:space="preserve">With true brand resonance, customers have a high degree of loyalty marked by a close relationship with the brand such that customers actively seek means to interact with the brand and share their experiences with others. Firms that are able to achieve resonance and affinity with their customers should reap a host of valuable benefits, e.g., greater price premiums and more efficient and effective marketing programs. </w:t>
      </w:r>
    </w:p>
    <w:p w:rsidR="00671C6A" w:rsidRDefault="00671C6A">
      <w:pPr>
        <w:tabs>
          <w:tab w:val="left" w:pos="360"/>
        </w:tabs>
        <w:rPr>
          <w:rFonts w:ascii="Garamond" w:hAnsi="Garamond"/>
          <w:sz w:val="24"/>
        </w:rPr>
      </w:pPr>
    </w:p>
    <w:p w:rsidR="00671C6A" w:rsidRDefault="00671C6A">
      <w:pPr>
        <w:tabs>
          <w:tab w:val="left" w:pos="360"/>
        </w:tabs>
        <w:rPr>
          <w:rFonts w:ascii="Garamond" w:hAnsi="Garamond"/>
          <w:sz w:val="24"/>
        </w:rPr>
      </w:pPr>
      <w:r>
        <w:rPr>
          <w:rFonts w:ascii="Garamond" w:hAnsi="Garamond"/>
          <w:sz w:val="24"/>
        </w:rPr>
        <w:t>The</w:t>
      </w:r>
      <w:r w:rsidR="00200DA8">
        <w:rPr>
          <w:rFonts w:ascii="Garamond" w:hAnsi="Garamond"/>
          <w:sz w:val="24"/>
        </w:rPr>
        <w:t xml:space="preserve">n, the implications of the CBBE model are </w:t>
      </w:r>
      <w:r>
        <w:rPr>
          <w:rFonts w:ascii="Garamond" w:hAnsi="Garamond"/>
          <w:sz w:val="24"/>
        </w:rPr>
        <w:t>describ</w:t>
      </w:r>
      <w:r w:rsidR="00200DA8">
        <w:rPr>
          <w:rFonts w:ascii="Garamond" w:hAnsi="Garamond"/>
          <w:sz w:val="24"/>
        </w:rPr>
        <w:t>ed:</w:t>
      </w:r>
      <w:r>
        <w:rPr>
          <w:rFonts w:ascii="Garamond" w:hAnsi="Garamond"/>
          <w:sz w:val="24"/>
        </w:rPr>
        <w:t xml:space="preserve"> some of: consumers own brands, brand managers should not take shortcuts in building a brand, brands should appeal to consumers’ rational and emotional sides, brands should have richness in order to facilitate strong bonds with consumers, and achieving brand resonance should be a key point of focus for marketers. </w:t>
      </w:r>
    </w:p>
    <w:p w:rsidR="00671C6A" w:rsidRDefault="00671C6A">
      <w:pPr>
        <w:tabs>
          <w:tab w:val="left" w:pos="360"/>
        </w:tabs>
        <w:rPr>
          <w:rFonts w:ascii="Garamond" w:hAnsi="Garamond"/>
          <w:sz w:val="24"/>
        </w:rPr>
      </w:pPr>
    </w:p>
    <w:p w:rsidR="00664E04" w:rsidRDefault="00200DA8" w:rsidP="00664E04">
      <w:pPr>
        <w:rPr>
          <w:rFonts w:ascii="Garamond" w:hAnsi="Garamond"/>
          <w:sz w:val="24"/>
        </w:rPr>
      </w:pPr>
      <w:r>
        <w:rPr>
          <w:rFonts w:ascii="Garamond" w:hAnsi="Garamond"/>
          <w:sz w:val="24"/>
        </w:rPr>
        <w:t xml:space="preserve">The chapter concludes by </w:t>
      </w:r>
      <w:r w:rsidR="00664E04">
        <w:rPr>
          <w:rFonts w:ascii="Garamond" w:hAnsi="Garamond"/>
          <w:sz w:val="24"/>
        </w:rPr>
        <w:t>discussing ways for creating customer v</w:t>
      </w:r>
      <w:r w:rsidRPr="00200DA8">
        <w:rPr>
          <w:rFonts w:ascii="Garamond" w:hAnsi="Garamond"/>
          <w:sz w:val="24"/>
        </w:rPr>
        <w:t>alue</w:t>
      </w:r>
      <w:r w:rsidR="00664E04">
        <w:rPr>
          <w:rFonts w:ascii="Garamond" w:hAnsi="Garamond"/>
          <w:sz w:val="24"/>
        </w:rPr>
        <w:t xml:space="preserve"> through C</w:t>
      </w:r>
      <w:r w:rsidRPr="00200DA8">
        <w:rPr>
          <w:rFonts w:ascii="Garamond" w:hAnsi="Garamond"/>
          <w:sz w:val="24"/>
        </w:rPr>
        <w:t>ustomer Relationship Management</w:t>
      </w:r>
      <w:r w:rsidR="00664E04">
        <w:rPr>
          <w:rFonts w:ascii="Garamond" w:hAnsi="Garamond"/>
          <w:sz w:val="24"/>
        </w:rPr>
        <w:t>. Also, the concept of “</w:t>
      </w:r>
      <w:r w:rsidRPr="00200DA8">
        <w:rPr>
          <w:rFonts w:ascii="Garamond" w:hAnsi="Garamond"/>
          <w:sz w:val="24"/>
        </w:rPr>
        <w:t>Customer Equity</w:t>
      </w:r>
      <w:r w:rsidR="00664E04">
        <w:rPr>
          <w:rFonts w:ascii="Garamond" w:hAnsi="Garamond"/>
          <w:sz w:val="24"/>
        </w:rPr>
        <w:t>” is introduced and the current research in this area is described (</w:t>
      </w:r>
      <w:proofErr w:type="spellStart"/>
      <w:r w:rsidRPr="00200DA8">
        <w:rPr>
          <w:rFonts w:ascii="Garamond" w:hAnsi="Garamond"/>
          <w:sz w:val="24"/>
        </w:rPr>
        <w:t>Blattberg</w:t>
      </w:r>
      <w:proofErr w:type="spellEnd"/>
      <w:r w:rsidRPr="00200DA8">
        <w:rPr>
          <w:rFonts w:ascii="Garamond" w:hAnsi="Garamond"/>
          <w:sz w:val="24"/>
        </w:rPr>
        <w:t xml:space="preserve"> &amp; Colleagues</w:t>
      </w:r>
      <w:r w:rsidR="00664E04">
        <w:rPr>
          <w:rFonts w:ascii="Garamond" w:hAnsi="Garamond"/>
          <w:sz w:val="24"/>
        </w:rPr>
        <w:t xml:space="preserve">; </w:t>
      </w:r>
      <w:r w:rsidR="00C12828">
        <w:rPr>
          <w:rFonts w:ascii="Garamond" w:hAnsi="Garamond"/>
          <w:sz w:val="24"/>
        </w:rPr>
        <w:t xml:space="preserve">Rust, </w:t>
      </w:r>
      <w:proofErr w:type="spellStart"/>
      <w:r w:rsidR="00C12828">
        <w:rPr>
          <w:rFonts w:ascii="Garamond" w:hAnsi="Garamond"/>
          <w:sz w:val="24"/>
        </w:rPr>
        <w:t>Zeitham</w:t>
      </w:r>
      <w:r w:rsidR="00303DC6">
        <w:rPr>
          <w:rFonts w:ascii="Garamond" w:hAnsi="Garamond"/>
          <w:sz w:val="24"/>
        </w:rPr>
        <w:t>l</w:t>
      </w:r>
      <w:proofErr w:type="spellEnd"/>
      <w:r w:rsidR="00C12828">
        <w:rPr>
          <w:rFonts w:ascii="Garamond" w:hAnsi="Garamond"/>
          <w:sz w:val="24"/>
        </w:rPr>
        <w:t xml:space="preserve"> &amp;</w:t>
      </w:r>
      <w:r w:rsidRPr="00200DA8">
        <w:rPr>
          <w:rFonts w:ascii="Garamond" w:hAnsi="Garamond"/>
          <w:sz w:val="24"/>
        </w:rPr>
        <w:t xml:space="preserve"> Lemon</w:t>
      </w:r>
      <w:r w:rsidR="00664E04">
        <w:rPr>
          <w:rFonts w:ascii="Garamond" w:hAnsi="Garamond"/>
          <w:sz w:val="24"/>
        </w:rPr>
        <w:t xml:space="preserve">; and </w:t>
      </w:r>
      <w:r w:rsidRPr="00200DA8">
        <w:rPr>
          <w:rFonts w:ascii="Garamond" w:hAnsi="Garamond"/>
          <w:sz w:val="24"/>
        </w:rPr>
        <w:t>Kumar &amp; Colleagues</w:t>
      </w:r>
      <w:r w:rsidR="00664E04">
        <w:rPr>
          <w:rFonts w:ascii="Garamond" w:hAnsi="Garamond"/>
          <w:sz w:val="24"/>
        </w:rPr>
        <w:t>). Finally, the r</w:t>
      </w:r>
      <w:r w:rsidRPr="00664E04">
        <w:rPr>
          <w:rFonts w:ascii="Garamond" w:hAnsi="Garamond"/>
          <w:sz w:val="24"/>
        </w:rPr>
        <w:t>elationship of Customer Equity to Brand Equity</w:t>
      </w:r>
      <w:r>
        <w:rPr>
          <w:rFonts w:ascii="Garamond" w:hAnsi="Garamond"/>
          <w:sz w:val="24"/>
        </w:rPr>
        <w:t xml:space="preserve"> </w:t>
      </w:r>
      <w:r w:rsidR="00664E04">
        <w:rPr>
          <w:rFonts w:ascii="Garamond" w:hAnsi="Garamond"/>
          <w:sz w:val="24"/>
        </w:rPr>
        <w:t>is analyzed.</w:t>
      </w:r>
    </w:p>
    <w:p w:rsidR="00664E04" w:rsidRDefault="00664E04" w:rsidP="00664E04">
      <w:pPr>
        <w:rPr>
          <w:rFonts w:ascii="Garamond" w:hAnsi="Garamond"/>
          <w:sz w:val="24"/>
        </w:rPr>
      </w:pPr>
    </w:p>
    <w:p w:rsidR="00671C6A" w:rsidRDefault="00671C6A" w:rsidP="00664E04">
      <w:pPr>
        <w:rPr>
          <w:rFonts w:ascii="Garamond" w:hAnsi="Garamond"/>
          <w:sz w:val="24"/>
        </w:rPr>
      </w:pPr>
      <w:r>
        <w:rPr>
          <w:rFonts w:ascii="Garamond" w:hAnsi="Garamond"/>
          <w:sz w:val="24"/>
        </w:rPr>
        <w:t>Brand Focus 2.0 details the advantages of creating a strong brand. These include greater loyalty and less vulnerability to competitive marketing actions and crises; larger margins; greater trade cooperation and support; increased marketing communication effectiveness; possible licensing opportunities; additional brand extension opportunities; and a number of other advantages.</w:t>
      </w:r>
    </w:p>
    <w:p w:rsidR="00671C6A" w:rsidRDefault="00671C6A">
      <w:pPr>
        <w:tabs>
          <w:tab w:val="left" w:pos="360"/>
        </w:tabs>
        <w:rPr>
          <w:rFonts w:ascii="Garamond" w:hAnsi="Garamond"/>
          <w:sz w:val="24"/>
        </w:rPr>
      </w:pPr>
    </w:p>
    <w:p w:rsidR="00671C6A" w:rsidRDefault="00671C6A">
      <w:pPr>
        <w:pStyle w:val="Heading1"/>
        <w:rPr>
          <w:rFonts w:ascii="Garamond" w:hAnsi="Garamond"/>
          <w:b/>
        </w:rPr>
      </w:pPr>
      <w:r>
        <w:rPr>
          <w:rFonts w:ascii="Garamond" w:hAnsi="Garamond"/>
          <w:b/>
        </w:rPr>
        <w:t>Key take-away points</w:t>
      </w:r>
    </w:p>
    <w:p w:rsidR="00B1165A" w:rsidRPr="00B1165A" w:rsidRDefault="00B1165A" w:rsidP="00B1165A"/>
    <w:p w:rsidR="00671C6A" w:rsidRDefault="00671C6A">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Customer-based brand equity is the differential effect of brand knowledge on consumer response to the marketing of a brand.</w:t>
      </w:r>
    </w:p>
    <w:p w:rsidR="00671C6A" w:rsidRDefault="00671C6A">
      <w:pPr>
        <w:tabs>
          <w:tab w:val="left" w:pos="360"/>
        </w:tabs>
        <w:spacing w:before="120"/>
        <w:ind w:left="360" w:hanging="360"/>
        <w:rPr>
          <w:rFonts w:ascii="Garamond" w:hAnsi="Garamond"/>
          <w:sz w:val="24"/>
        </w:rPr>
      </w:pPr>
      <w:r>
        <w:rPr>
          <w:rFonts w:ascii="Garamond" w:hAnsi="Garamond"/>
          <w:sz w:val="24"/>
        </w:rPr>
        <w:t>2.</w:t>
      </w:r>
      <w:r>
        <w:rPr>
          <w:rFonts w:ascii="Garamond" w:hAnsi="Garamond"/>
          <w:sz w:val="24"/>
        </w:rPr>
        <w:tab/>
        <w:t>Positive brand equity results when consumers are familiar with the brand and have strong, favorable and unique associations for it.</w:t>
      </w:r>
    </w:p>
    <w:p w:rsidR="00671C6A" w:rsidRDefault="00671C6A">
      <w:pPr>
        <w:pStyle w:val="BodyText2"/>
        <w:numPr>
          <w:ilvl w:val="0"/>
          <w:numId w:val="7"/>
        </w:numPr>
        <w:spacing w:before="120"/>
      </w:pPr>
      <w:r>
        <w:t>The power of the brand and its ultimate value to the firm resides with customers.</w:t>
      </w:r>
    </w:p>
    <w:p w:rsidR="00671C6A" w:rsidRDefault="00671C6A" w:rsidP="00E04E02">
      <w:pPr>
        <w:jc w:val="center"/>
        <w:rPr>
          <w:rFonts w:ascii="Garamond" w:hAnsi="Garamond"/>
          <w:sz w:val="24"/>
        </w:rPr>
      </w:pPr>
      <w:r>
        <w:rPr>
          <w:rFonts w:ascii="Garamond" w:hAnsi="Garamond"/>
          <w:sz w:val="24"/>
        </w:rPr>
        <w:br w:type="page"/>
      </w:r>
      <w:r>
        <w:rPr>
          <w:rFonts w:ascii="Garamond" w:hAnsi="Garamond"/>
          <w:b/>
          <w:i/>
          <w:caps/>
          <w:sz w:val="24"/>
        </w:rPr>
        <w:lastRenderedPageBreak/>
        <w:t>Branding Brief 2-</w:t>
      </w:r>
      <w:r w:rsidR="00A40F50">
        <w:rPr>
          <w:rFonts w:ascii="Garamond" w:hAnsi="Garamond"/>
          <w:b/>
          <w:i/>
          <w:caps/>
          <w:sz w:val="24"/>
        </w:rPr>
        <w:t>4</w:t>
      </w:r>
    </w:p>
    <w:p w:rsidR="00671C6A" w:rsidRDefault="00671C6A">
      <w:pPr>
        <w:spacing w:line="240" w:lineRule="atLeast"/>
        <w:jc w:val="center"/>
        <w:rPr>
          <w:rFonts w:ascii="Garamond" w:hAnsi="Garamond"/>
          <w:caps/>
          <w:sz w:val="24"/>
        </w:rPr>
      </w:pPr>
      <w:r>
        <w:rPr>
          <w:rFonts w:ascii="Garamond" w:hAnsi="Garamond"/>
          <w:b/>
          <w:i/>
          <w:caps/>
          <w:sz w:val="24"/>
        </w:rPr>
        <w:t>Australians Know Beer -- Or Do They?</w:t>
      </w:r>
    </w:p>
    <w:p w:rsidR="00671C6A" w:rsidRDefault="00671C6A">
      <w:pPr>
        <w:spacing w:line="240" w:lineRule="atLeast"/>
        <w:rPr>
          <w:rFonts w:ascii="Garamond" w:hAnsi="Garamond"/>
          <w:sz w:val="24"/>
        </w:rPr>
      </w:pPr>
    </w:p>
    <w:p w:rsidR="00671C6A" w:rsidRDefault="00671C6A">
      <w:pPr>
        <w:spacing w:line="240" w:lineRule="atLeast"/>
        <w:rPr>
          <w:rFonts w:ascii="Garamond" w:hAnsi="Garamond"/>
          <w:sz w:val="24"/>
        </w:rPr>
      </w:pPr>
    </w:p>
    <w:p w:rsidR="00671C6A" w:rsidRDefault="00671C6A">
      <w:pPr>
        <w:spacing w:line="240" w:lineRule="atLeast"/>
        <w:rPr>
          <w:rFonts w:ascii="Garamond" w:hAnsi="Garamond"/>
          <w:sz w:val="24"/>
        </w:rPr>
      </w:pPr>
      <w:r>
        <w:rPr>
          <w:rFonts w:ascii="Garamond" w:hAnsi="Garamond"/>
          <w:sz w:val="24"/>
        </w:rPr>
        <w:t xml:space="preserve">The reality is that in many product categories, brands are not that different in their actual product performance. Australians are well-known for their beer-drinking loyalty and prowess. Australians have extremely strong and well-defined brand preferences, often based on regional differences. In </w:t>
      </w:r>
      <w:smartTag w:uri="urn:schemas-microsoft-com:office:smarttags" w:element="place">
        <w:smartTag w:uri="urn:schemas-microsoft-com:office:smarttags" w:element="State">
          <w:r>
            <w:rPr>
              <w:rFonts w:ascii="Garamond" w:hAnsi="Garamond"/>
              <w:sz w:val="24"/>
            </w:rPr>
            <w:t>Queensland</w:t>
          </w:r>
        </w:smartTag>
      </w:smartTag>
      <w:r>
        <w:rPr>
          <w:rFonts w:ascii="Garamond" w:hAnsi="Garamond"/>
          <w:sz w:val="24"/>
        </w:rPr>
        <w:t xml:space="preserve">, </w:t>
      </w:r>
      <w:r>
        <w:rPr>
          <w:rFonts w:ascii="Garamond" w:hAnsi="Garamond"/>
          <w:color w:val="000000"/>
          <w:sz w:val="24"/>
        </w:rPr>
        <w:t>XXXX</w:t>
      </w:r>
      <w:r>
        <w:rPr>
          <w:rFonts w:ascii="Garamond" w:hAnsi="Garamond"/>
          <w:sz w:val="24"/>
        </w:rPr>
        <w:t xml:space="preserve"> reigns supreme where in the state of Victoria, beer drinkers ask for Victoria Bitter (VB). The only strong national brand is Foster's Lager, which has also been the recipient of a considerable financial investment to take advantage of its Australian heritage to develop markets worldwide. </w:t>
      </w:r>
    </w:p>
    <w:p w:rsidR="00671C6A" w:rsidRDefault="00671C6A">
      <w:pPr>
        <w:spacing w:line="240" w:lineRule="atLeast"/>
        <w:rPr>
          <w:rFonts w:ascii="Garamond" w:hAnsi="Garamond"/>
          <w:sz w:val="24"/>
        </w:rPr>
      </w:pPr>
    </w:p>
    <w:p w:rsidR="00671C6A" w:rsidRDefault="00671C6A">
      <w:pPr>
        <w:spacing w:line="240" w:lineRule="atLeast"/>
        <w:rPr>
          <w:rFonts w:ascii="Garamond" w:hAnsi="Garamond"/>
          <w:sz w:val="24"/>
        </w:rPr>
      </w:pPr>
      <w:r>
        <w:rPr>
          <w:rFonts w:ascii="Garamond" w:hAnsi="Garamond"/>
          <w:sz w:val="24"/>
        </w:rPr>
        <w:t xml:space="preserve">Many Australian breweries make more than one beer, supporting them with different marketing programs and targeting different market segments. For example, the large </w:t>
      </w:r>
      <w:smartTag w:uri="urn:schemas-microsoft-com:office:smarttags" w:element="place">
        <w:smartTag w:uri="urn:schemas-microsoft-com:office:smarttags" w:element="City">
          <w:r>
            <w:rPr>
              <w:rFonts w:ascii="Garamond" w:hAnsi="Garamond"/>
              <w:sz w:val="24"/>
            </w:rPr>
            <w:t>Carlton</w:t>
          </w:r>
        </w:smartTag>
      </w:smartTag>
      <w:r>
        <w:rPr>
          <w:rFonts w:ascii="Garamond" w:hAnsi="Garamond"/>
          <w:sz w:val="24"/>
        </w:rPr>
        <w:t xml:space="preserve"> and United Breweries (CUB) makes both Foster's Lager and Victoria Bitter. Recently, the </w:t>
      </w:r>
      <w:r>
        <w:rPr>
          <w:rFonts w:ascii="Garamond" w:hAnsi="Garamond"/>
          <w:i/>
          <w:sz w:val="24"/>
        </w:rPr>
        <w:t>Sydney Morning Herald</w:t>
      </w:r>
      <w:r>
        <w:rPr>
          <w:rFonts w:ascii="Garamond" w:hAnsi="Garamond"/>
          <w:sz w:val="24"/>
        </w:rPr>
        <w:t xml:space="preserve"> reported that </w:t>
      </w:r>
      <w:proofErr w:type="spellStart"/>
      <w:r>
        <w:rPr>
          <w:rFonts w:ascii="Garamond" w:hAnsi="Garamond"/>
          <w:sz w:val="24"/>
        </w:rPr>
        <w:t>Castlemaine</w:t>
      </w:r>
      <w:proofErr w:type="spellEnd"/>
      <w:r>
        <w:rPr>
          <w:rFonts w:ascii="Garamond" w:hAnsi="Garamond"/>
          <w:sz w:val="24"/>
        </w:rPr>
        <w:t xml:space="preserve"> Perkins, a rival brewer to CUB, issued a press release claiming that examination and analysis of data on CUB’s Foster's Lager and Victoria Bitter beers from four sources over a five year period showed that the only consistent variation between the two beers was that VB had </w:t>
      </w:r>
      <w:proofErr w:type="gramStart"/>
      <w:r>
        <w:rPr>
          <w:rFonts w:ascii="Garamond" w:hAnsi="Garamond"/>
          <w:sz w:val="24"/>
        </w:rPr>
        <w:t>a higher</w:t>
      </w:r>
      <w:proofErr w:type="gramEnd"/>
      <w:r>
        <w:rPr>
          <w:rFonts w:ascii="Garamond" w:hAnsi="Garamond"/>
          <w:sz w:val="24"/>
        </w:rPr>
        <w:t xml:space="preserve"> </w:t>
      </w:r>
      <w:r>
        <w:rPr>
          <w:rFonts w:ascii="Garamond" w:hAnsi="Garamond"/>
          <w:sz w:val="24"/>
          <w:u w:val="single"/>
        </w:rPr>
        <w:t>color</w:t>
      </w:r>
      <w:r>
        <w:rPr>
          <w:rFonts w:ascii="Garamond" w:hAnsi="Garamond"/>
          <w:sz w:val="24"/>
        </w:rPr>
        <w:t xml:space="preserve"> content!  </w:t>
      </w:r>
    </w:p>
    <w:p w:rsidR="00671C6A" w:rsidRDefault="00671C6A">
      <w:pPr>
        <w:spacing w:line="240" w:lineRule="atLeast"/>
        <w:rPr>
          <w:rFonts w:ascii="Garamond" w:hAnsi="Garamond"/>
          <w:sz w:val="24"/>
        </w:rPr>
      </w:pPr>
    </w:p>
    <w:p w:rsidR="00671C6A" w:rsidRDefault="00671C6A">
      <w:pPr>
        <w:spacing w:line="240" w:lineRule="atLeast"/>
        <w:rPr>
          <w:rFonts w:ascii="Garamond" w:hAnsi="Garamond"/>
          <w:sz w:val="24"/>
        </w:rPr>
      </w:pPr>
      <w:r>
        <w:rPr>
          <w:rFonts w:ascii="Garamond" w:hAnsi="Garamond"/>
          <w:sz w:val="24"/>
        </w:rPr>
        <w:t>Specifically, the press release reported that qualified chemists had examined six flavor profiles of the beers and concluded they showed similar analytical patterns. A spokesman for the analysts said the tests were standard industry ones using a technique called "wet chemistry" and included specific gravity (for the fullness in a beer), bitterness, pH, color, alcohol, head retention, carbonation, haze stability, aroma tests and carbohydrate tests.</w:t>
      </w:r>
    </w:p>
    <w:p w:rsidR="00671C6A" w:rsidRDefault="00671C6A">
      <w:pPr>
        <w:spacing w:line="240" w:lineRule="atLeast"/>
        <w:rPr>
          <w:rFonts w:ascii="Garamond" w:hAnsi="Garamond"/>
          <w:sz w:val="24"/>
        </w:rPr>
      </w:pPr>
    </w:p>
    <w:p w:rsidR="00671C6A" w:rsidRDefault="00671C6A">
      <w:pPr>
        <w:spacing w:line="240" w:lineRule="atLeast"/>
        <w:rPr>
          <w:rFonts w:ascii="Garamond" w:hAnsi="Garamond"/>
          <w:sz w:val="24"/>
        </w:rPr>
      </w:pPr>
      <w:r>
        <w:rPr>
          <w:rFonts w:ascii="Garamond" w:hAnsi="Garamond"/>
          <w:sz w:val="24"/>
        </w:rPr>
        <w:t xml:space="preserve">CUB's head brewer in Brisbane, Noel </w:t>
      </w:r>
      <w:proofErr w:type="spellStart"/>
      <w:r>
        <w:rPr>
          <w:rFonts w:ascii="Garamond" w:hAnsi="Garamond"/>
          <w:sz w:val="24"/>
        </w:rPr>
        <w:t>Jago</w:t>
      </w:r>
      <w:proofErr w:type="spellEnd"/>
      <w:r>
        <w:rPr>
          <w:rFonts w:ascii="Garamond" w:hAnsi="Garamond"/>
          <w:sz w:val="24"/>
        </w:rPr>
        <w:t>, complained of an opposition smear campaign but admitted that most of CUB's full strength beers were similar and "reasonably close in many aspects."  He maintained, however, that although the same hops, sugar, malt, and yeast were used in making the two beers, the difference was in the combination of basic ingredients. He also noted that the carbon dioxide, specific gravity and other normal parameters were similar, but the fine tuning in fermentation and filtration made the difference.</w:t>
      </w:r>
    </w:p>
    <w:p w:rsidR="00671C6A" w:rsidRDefault="00671C6A">
      <w:pPr>
        <w:spacing w:line="240" w:lineRule="atLeast"/>
        <w:rPr>
          <w:rFonts w:ascii="Garamond" w:hAnsi="Garamond"/>
          <w:sz w:val="24"/>
        </w:rPr>
      </w:pPr>
    </w:p>
    <w:p w:rsidR="00671C6A" w:rsidRDefault="00671C6A">
      <w:pPr>
        <w:spacing w:line="240" w:lineRule="atLeast"/>
        <w:rPr>
          <w:rFonts w:ascii="Garamond" w:hAnsi="Garamond"/>
          <w:sz w:val="24"/>
        </w:rPr>
      </w:pPr>
      <w:r>
        <w:rPr>
          <w:rFonts w:ascii="Garamond" w:hAnsi="Garamond"/>
          <w:sz w:val="24"/>
        </w:rPr>
        <w:t xml:space="preserve">"There is not a hell of a difference in taste but the difference is there," </w:t>
      </w:r>
      <w:proofErr w:type="spellStart"/>
      <w:r>
        <w:rPr>
          <w:rFonts w:ascii="Garamond" w:hAnsi="Garamond"/>
          <w:sz w:val="24"/>
        </w:rPr>
        <w:t>Jago</w:t>
      </w:r>
      <w:proofErr w:type="spellEnd"/>
      <w:r>
        <w:rPr>
          <w:rFonts w:ascii="Garamond" w:hAnsi="Garamond"/>
          <w:sz w:val="24"/>
        </w:rPr>
        <w:t xml:space="preserve"> said. He said anyone who doubted the difference in the beers was entitled to "come and see </w:t>
      </w:r>
      <w:proofErr w:type="gramStart"/>
      <w:r>
        <w:rPr>
          <w:rFonts w:ascii="Garamond" w:hAnsi="Garamond"/>
          <w:sz w:val="24"/>
        </w:rPr>
        <w:t>themselves</w:t>
      </w:r>
      <w:proofErr w:type="gramEnd"/>
      <w:r>
        <w:rPr>
          <w:rFonts w:ascii="Garamond" w:hAnsi="Garamond"/>
          <w:sz w:val="24"/>
        </w:rPr>
        <w:t xml:space="preserve">."  </w:t>
      </w:r>
    </w:p>
    <w:p w:rsidR="00671C6A" w:rsidRDefault="00671C6A">
      <w:pPr>
        <w:spacing w:line="240" w:lineRule="atLeast"/>
        <w:jc w:val="center"/>
        <w:rPr>
          <w:rFonts w:ascii="Garamond" w:hAnsi="Garamond"/>
          <w:b/>
          <w:i/>
          <w:caps/>
          <w:sz w:val="24"/>
        </w:rPr>
      </w:pPr>
      <w:r>
        <w:rPr>
          <w:rFonts w:ascii="Garamond" w:hAnsi="Garamond"/>
          <w:sz w:val="24"/>
        </w:rPr>
        <w:br w:type="page"/>
      </w:r>
      <w:r w:rsidR="00A40F50">
        <w:rPr>
          <w:rFonts w:ascii="Garamond" w:hAnsi="Garamond"/>
          <w:b/>
          <w:i/>
          <w:caps/>
          <w:sz w:val="24"/>
        </w:rPr>
        <w:lastRenderedPageBreak/>
        <w:t>Branding Brief 2-5</w:t>
      </w:r>
    </w:p>
    <w:p w:rsidR="00671C6A" w:rsidRDefault="00671C6A">
      <w:pPr>
        <w:spacing w:line="240" w:lineRule="atLeast"/>
        <w:jc w:val="center"/>
        <w:rPr>
          <w:rFonts w:ascii="Garamond" w:hAnsi="Garamond"/>
          <w:sz w:val="24"/>
        </w:rPr>
      </w:pPr>
      <w:r>
        <w:rPr>
          <w:rFonts w:ascii="Garamond" w:hAnsi="Garamond"/>
          <w:b/>
          <w:i/>
          <w:caps/>
          <w:sz w:val="24"/>
        </w:rPr>
        <w:t xml:space="preserve">To Be A Pepper or Not to Be A </w:t>
      </w:r>
      <w:proofErr w:type="gramStart"/>
      <w:r>
        <w:rPr>
          <w:rFonts w:ascii="Garamond" w:hAnsi="Garamond"/>
          <w:b/>
          <w:i/>
          <w:caps/>
          <w:sz w:val="24"/>
        </w:rPr>
        <w:t>Pepper ...</w:t>
      </w:r>
      <w:proofErr w:type="gramEnd"/>
      <w:r>
        <w:rPr>
          <w:rStyle w:val="FootnoteReference"/>
          <w:rFonts w:ascii="Garamond" w:hAnsi="Garamond"/>
          <w:b/>
          <w:i/>
          <w:caps/>
          <w:sz w:val="24"/>
        </w:rPr>
        <w:footnoteReference w:id="1"/>
      </w:r>
    </w:p>
    <w:p w:rsidR="00671C6A" w:rsidRDefault="00671C6A">
      <w:pPr>
        <w:spacing w:line="240" w:lineRule="atLeast"/>
        <w:rPr>
          <w:rFonts w:ascii="Garamond" w:hAnsi="Garamond"/>
          <w:sz w:val="24"/>
        </w:rPr>
      </w:pPr>
    </w:p>
    <w:p w:rsidR="00671C6A" w:rsidRDefault="00671C6A">
      <w:pPr>
        <w:spacing w:line="240" w:lineRule="atLeast"/>
        <w:rPr>
          <w:rFonts w:ascii="Garamond" w:hAnsi="Garamond"/>
          <w:sz w:val="24"/>
        </w:rPr>
      </w:pPr>
    </w:p>
    <w:p w:rsidR="00671C6A" w:rsidRDefault="00671C6A">
      <w:pPr>
        <w:spacing w:line="240" w:lineRule="atLeast"/>
        <w:rPr>
          <w:rFonts w:ascii="Garamond" w:hAnsi="Garamond"/>
          <w:sz w:val="24"/>
        </w:rPr>
      </w:pPr>
      <w:r>
        <w:rPr>
          <w:rFonts w:ascii="Garamond" w:hAnsi="Garamond"/>
          <w:sz w:val="24"/>
        </w:rPr>
        <w:t>Finding the right brand personality for the right group of consumers can be challenging. A brand with the right personality can result in a consumer feeling that the brand is relevant and "my kind of product."  A consumer may be more willing to invest in a relationship or even develop a "friendship" with the brand as a result. Advertising in particular often needs to reflect the appropriate brand personality. The first question members of the creative department in an ad agency often ask a new client is, "what is the personality of the brand?"  The answer that is given often takes on great importance as they develop the ad campaign.</w:t>
      </w:r>
    </w:p>
    <w:p w:rsidR="00671C6A" w:rsidRDefault="00671C6A">
      <w:pPr>
        <w:spacing w:line="240" w:lineRule="atLeast"/>
        <w:rPr>
          <w:rFonts w:ascii="Garamond" w:hAnsi="Garamond"/>
          <w:sz w:val="24"/>
        </w:rPr>
      </w:pPr>
    </w:p>
    <w:p w:rsidR="00671C6A" w:rsidRDefault="00671C6A">
      <w:pPr>
        <w:spacing w:line="240" w:lineRule="atLeast"/>
        <w:rPr>
          <w:rFonts w:ascii="Garamond" w:hAnsi="Garamond"/>
          <w:sz w:val="24"/>
        </w:rPr>
      </w:pPr>
      <w:r>
        <w:rPr>
          <w:rFonts w:ascii="Garamond" w:hAnsi="Garamond"/>
          <w:sz w:val="24"/>
        </w:rPr>
        <w:t>Defining the target market can have profound implications on the resulting positioning. The extent to which users and non-users agree can provide strategic direction. Dr Pepper is an unusual tasting soft drink with an unusual name. Its first major ad campaign stressed that it was “</w:t>
      </w:r>
      <w:smartTag w:uri="urn:schemas-microsoft-com:office:smarttags" w:element="place">
        <w:smartTag w:uri="urn:schemas-microsoft-com:office:smarttags" w:element="country-region">
          <w:r>
            <w:rPr>
              <w:rFonts w:ascii="Garamond" w:hAnsi="Garamond"/>
              <w:sz w:val="24"/>
            </w:rPr>
            <w:t>America</w:t>
          </w:r>
        </w:smartTag>
      </w:smartTag>
      <w:r>
        <w:rPr>
          <w:rFonts w:ascii="Garamond" w:hAnsi="Garamond"/>
          <w:sz w:val="24"/>
        </w:rPr>
        <w:t>’s Most Misunderstood Soft Drink,” establishing the brand as a feisty, irreverent underdog that stood out from the crowd. Later ads repositioned the brand, however, in different ways.</w:t>
      </w:r>
    </w:p>
    <w:p w:rsidR="00671C6A" w:rsidRDefault="00671C6A">
      <w:pPr>
        <w:spacing w:line="240" w:lineRule="atLeast"/>
        <w:rPr>
          <w:rFonts w:ascii="Garamond" w:hAnsi="Garamond"/>
          <w:sz w:val="24"/>
        </w:rPr>
      </w:pPr>
    </w:p>
    <w:p w:rsidR="00671C6A" w:rsidRDefault="00671C6A">
      <w:pPr>
        <w:ind w:right="-18"/>
        <w:rPr>
          <w:rFonts w:ascii="Garamond" w:hAnsi="Garamond"/>
          <w:sz w:val="24"/>
        </w:rPr>
      </w:pPr>
      <w:r>
        <w:rPr>
          <w:rFonts w:ascii="Garamond" w:hAnsi="Garamond"/>
          <w:sz w:val="24"/>
        </w:rPr>
        <w:t xml:space="preserve">For example, to capitalize on its growing popularity, the “Be a Pepper” campaign was launched. The mainstream shift created problems because although some loyal Dr Pepper drinkers still saw the brand as original, fun, and offbeat, in spite of the advertising, others rejected the new mainstream appeal. Recognizing this shift, Dr Pepper returned to a campaign stressing the brand’s individuality by urging consumers to “Hold Out for the Out of the Ordinary.”  The shift brought new and old users into the fold and led to sales growth in the 1980s. More recently, however, Dr Pepper has returned to a more mass-market appeal, invoking heart-tugging images of small-town </w:t>
      </w:r>
      <w:smartTag w:uri="urn:schemas-microsoft-com:office:smarttags" w:element="place">
        <w:smartTag w:uri="urn:schemas-microsoft-com:office:smarttags" w:element="country-region">
          <w:r>
            <w:rPr>
              <w:rFonts w:ascii="Garamond" w:hAnsi="Garamond"/>
              <w:sz w:val="24"/>
            </w:rPr>
            <w:t>America</w:t>
          </w:r>
        </w:smartTag>
      </w:smartTag>
      <w:r>
        <w:rPr>
          <w:rFonts w:ascii="Garamond" w:hAnsi="Garamond"/>
          <w:sz w:val="24"/>
        </w:rPr>
        <w:t xml:space="preserve">. This shift created an opportunity for the brand to recapture its heritage with these underdog supporters. Ads in the 1990s proclaimed that the brand was “Just What the Dr. Ordered.” </w:t>
      </w:r>
    </w:p>
    <w:p w:rsidR="00671C6A" w:rsidRDefault="00671C6A">
      <w:pPr>
        <w:spacing w:line="240" w:lineRule="atLeast"/>
        <w:rPr>
          <w:rFonts w:ascii="Garamond" w:hAnsi="Garamond"/>
          <w:sz w:val="24"/>
        </w:rPr>
      </w:pPr>
    </w:p>
    <w:p w:rsidR="00671C6A" w:rsidRDefault="00671C6A">
      <w:pPr>
        <w:pStyle w:val="BodyText3"/>
        <w:spacing w:line="240" w:lineRule="auto"/>
        <w:rPr>
          <w:b w:val="0"/>
        </w:rPr>
      </w:pPr>
      <w:r>
        <w:rPr>
          <w:b w:val="0"/>
        </w:rPr>
        <w:t>The small-town imagery appealed to consumers, and Dr Pepper grew at a seven percent annual rate between 1990 and 1999. During that same interval, the brand doubled shipments of its product, which reached 5 billion cases in 1999. The company continued with a feel-good campaign featuring the jingle “Dr Pepper Makes the World Taste Better.”  In 2000, Dr Pepper’s share of the soft-drink market held steady at 6.2 percent – good enough for sixth place in the category – while two of the top five soft drink brands saw their share fall. 2001 saw a new campaign themed “Be You” featuring popular singer Garth Brooks.</w:t>
      </w:r>
    </w:p>
    <w:p w:rsidR="00671C6A" w:rsidRDefault="00671C6A">
      <w:pPr>
        <w:ind w:right="3108"/>
        <w:rPr>
          <w:rFonts w:ascii="Garamond" w:hAnsi="Garamond"/>
          <w:sz w:val="24"/>
        </w:rPr>
      </w:pPr>
    </w:p>
    <w:p w:rsidR="00671C6A" w:rsidRDefault="00671C6A">
      <w:pPr>
        <w:spacing w:line="240" w:lineRule="atLeast"/>
        <w:rPr>
          <w:rFonts w:ascii="Garamond" w:hAnsi="Garamond"/>
          <w:sz w:val="24"/>
        </w:rPr>
      </w:pPr>
    </w:p>
    <w:p w:rsidR="00671C6A" w:rsidRDefault="00671C6A">
      <w:pPr>
        <w:rPr>
          <w:rFonts w:ascii="Times New Roman" w:hAnsi="Times New Roman"/>
          <w:sz w:val="24"/>
        </w:rPr>
      </w:pPr>
    </w:p>
    <w:sectPr w:rsidR="00671C6A" w:rsidSect="00E04E02">
      <w:headerReference w:type="even" r:id="rId8"/>
      <w:footerReference w:type="even" r:id="rId9"/>
      <w:footerReference w:type="default" r:id="rId10"/>
      <w:footerReference w:type="first" r:id="rId11"/>
      <w:pgSz w:w="12240" w:h="15840"/>
      <w:pgMar w:top="1440" w:right="1800" w:bottom="1440" w:left="1800" w:header="720" w:footer="720" w:gutter="0"/>
      <w:pgNumType w:start="8"/>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F43" w:rsidRDefault="007D0F43">
      <w:r>
        <w:separator/>
      </w:r>
    </w:p>
  </w:endnote>
  <w:endnote w:type="continuationSeparator" w:id="0">
    <w:p w:rsidR="007D0F43" w:rsidRDefault="007D0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66B" w:rsidRDefault="00B216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2166B" w:rsidRDefault="00B216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66B" w:rsidRDefault="00B2166B">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B1165A">
      <w:rPr>
        <w:rStyle w:val="PageNumber"/>
        <w:rFonts w:ascii="Times New Roman" w:hAnsi="Times New Roman"/>
        <w:noProof/>
        <w:sz w:val="24"/>
      </w:rPr>
      <w:t>11</w:t>
    </w:r>
    <w:r>
      <w:rPr>
        <w:rStyle w:val="PageNumber"/>
        <w:rFonts w:ascii="Times New Roman" w:hAnsi="Times New Roman"/>
        <w:sz w:val="24"/>
      </w:rPr>
      <w:fldChar w:fldCharType="end"/>
    </w:r>
  </w:p>
  <w:p w:rsidR="00B2166B" w:rsidRDefault="00B2166B">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66B" w:rsidRDefault="00B2166B">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F43" w:rsidRDefault="007D0F43">
      <w:r>
        <w:separator/>
      </w:r>
    </w:p>
  </w:footnote>
  <w:footnote w:type="continuationSeparator" w:id="0">
    <w:p w:rsidR="007D0F43" w:rsidRDefault="007D0F43">
      <w:r>
        <w:continuationSeparator/>
      </w:r>
    </w:p>
  </w:footnote>
  <w:footnote w:id="1">
    <w:p w:rsidR="00B2166B" w:rsidRDefault="00B2166B">
      <w:pPr>
        <w:pStyle w:val="FootnoteText"/>
        <w:rPr>
          <w:rFonts w:ascii="Garamond" w:hAnsi="Garamond"/>
        </w:rPr>
      </w:pPr>
      <w:r>
        <w:rPr>
          <w:rStyle w:val="FootnoteReference"/>
          <w:rFonts w:ascii="Garamond" w:hAnsi="Garamond"/>
        </w:rPr>
        <w:footnoteRef/>
      </w:r>
      <w:r>
        <w:rPr>
          <w:rFonts w:ascii="Garamond" w:hAnsi="Garamond"/>
        </w:rPr>
        <w:t xml:space="preserve"> Theresa Howard. “With Dr Pepper, 7UP Both Clicking, Bottlers Are Ready for Flavor Crusade.” </w:t>
      </w:r>
      <w:proofErr w:type="spellStart"/>
      <w:r>
        <w:rPr>
          <w:rFonts w:ascii="Garamond" w:hAnsi="Garamond"/>
          <w:i/>
        </w:rPr>
        <w:t>Brandweek</w:t>
      </w:r>
      <w:proofErr w:type="spellEnd"/>
      <w:r>
        <w:rPr>
          <w:rFonts w:ascii="Garamond" w:hAnsi="Garamond"/>
        </w:rPr>
        <w:t xml:space="preserve">, </w:t>
      </w:r>
      <w:smartTag w:uri="urn:schemas-microsoft-com:office:smarttags" w:element="date">
        <w:smartTagPr>
          <w:attr w:name="Year" w:val="1999"/>
          <w:attr w:name="Day" w:val="11"/>
          <w:attr w:name="Month" w:val="10"/>
        </w:smartTagPr>
        <w:r>
          <w:rPr>
            <w:rFonts w:ascii="Garamond" w:hAnsi="Garamond"/>
          </w:rPr>
          <w:t>October 11, 1999</w:t>
        </w:r>
      </w:smartTag>
      <w:r>
        <w:rPr>
          <w:rFonts w:ascii="Garamond" w:hAnsi="Garamond"/>
        </w:rPr>
        <w:t xml:space="preserve">. Ronald Alsop, Dr Pepper Is Bubbling Again After Its 'Be a Pepper' Setback, </w:t>
      </w:r>
      <w:r>
        <w:rPr>
          <w:rFonts w:ascii="Garamond" w:hAnsi="Garamond"/>
          <w:u w:val="single"/>
        </w:rPr>
        <w:t>Wall Street Journal</w:t>
      </w:r>
      <w:r>
        <w:rPr>
          <w:rFonts w:ascii="Garamond" w:hAnsi="Garamond"/>
        </w:rPr>
        <w:t xml:space="preserve">, </w:t>
      </w:r>
      <w:smartTag w:uri="urn:schemas-microsoft-com:office:smarttags" w:element="date">
        <w:smartTagPr>
          <w:attr w:name="Year" w:val="1985"/>
          <w:attr w:name="Day" w:val="26"/>
          <w:attr w:name="Month" w:val="9"/>
        </w:smartTagPr>
        <w:r>
          <w:rPr>
            <w:rFonts w:ascii="Garamond" w:hAnsi="Garamond"/>
          </w:rPr>
          <w:t>September 26, 1985</w:t>
        </w:r>
      </w:smartTag>
      <w:r>
        <w:rPr>
          <w:rFonts w:ascii="Garamond" w:hAnsi="Garamond"/>
        </w:rPr>
        <w:t xml:space="preserve">, p. 33. Betsy Sharkey, "David </w:t>
      </w:r>
      <w:proofErr w:type="spellStart"/>
      <w:r>
        <w:rPr>
          <w:rFonts w:ascii="Garamond" w:hAnsi="Garamond"/>
        </w:rPr>
        <w:t>Naughton</w:t>
      </w:r>
      <w:proofErr w:type="spellEnd"/>
      <w:r>
        <w:rPr>
          <w:rFonts w:ascii="Garamond" w:hAnsi="Garamond"/>
        </w:rPr>
        <w:t xml:space="preserve">: Wouldn't He Like to Be a Pepper II?" </w:t>
      </w:r>
      <w:r>
        <w:rPr>
          <w:rFonts w:ascii="Garamond" w:hAnsi="Garamond"/>
          <w:u w:val="single"/>
        </w:rPr>
        <w:t>ADWEEK</w:t>
      </w:r>
      <w:r>
        <w:rPr>
          <w:rFonts w:ascii="Garamond" w:hAnsi="Garamond"/>
        </w:rPr>
        <w:t xml:space="preserve">, </w:t>
      </w:r>
      <w:smartTag w:uri="urn:schemas-microsoft-com:office:smarttags" w:element="date">
        <w:smartTagPr>
          <w:attr w:name="Year" w:val="1988"/>
          <w:attr w:name="Day" w:val="16"/>
          <w:attr w:name="Month" w:val="5"/>
        </w:smartTagPr>
        <w:r>
          <w:rPr>
            <w:rFonts w:ascii="Garamond" w:hAnsi="Garamond"/>
          </w:rPr>
          <w:t>May 16, 1988</w:t>
        </w:r>
      </w:smartTag>
      <w:r>
        <w:rPr>
          <w:rFonts w:ascii="Garamond" w:hAnsi="Garamond"/>
        </w:rPr>
        <w:t xml:space="preserve">, p. 10. Kevin Goldman, "Dr Pepper Wraps Ads in Stars and Stripes," </w:t>
      </w:r>
      <w:r>
        <w:rPr>
          <w:rFonts w:ascii="Garamond" w:hAnsi="Garamond"/>
          <w:u w:val="single"/>
        </w:rPr>
        <w:t xml:space="preserve">Wall Street </w:t>
      </w:r>
      <w:bookmarkStart w:id="0" w:name="_GoBack"/>
      <w:bookmarkEnd w:id="0"/>
      <w:r>
        <w:rPr>
          <w:rFonts w:ascii="Garamond" w:hAnsi="Garamond"/>
          <w:u w:val="single"/>
        </w:rPr>
        <w:t>Journal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66B" w:rsidRDefault="00B2166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2166B" w:rsidRDefault="00B216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A9F4A60"/>
    <w:multiLevelType w:val="singleLevel"/>
    <w:tmpl w:val="0409000F"/>
    <w:lvl w:ilvl="0">
      <w:start w:val="3"/>
      <w:numFmt w:val="decimal"/>
      <w:lvlText w:val="%1."/>
      <w:lvlJc w:val="left"/>
      <w:pPr>
        <w:tabs>
          <w:tab w:val="num" w:pos="360"/>
        </w:tabs>
        <w:ind w:left="360" w:hanging="360"/>
      </w:pPr>
      <w:rPr>
        <w:rFonts w:hint="default"/>
      </w:rPr>
    </w:lvl>
  </w:abstractNum>
  <w:abstractNum w:abstractNumId="3">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3"/>
  </w:num>
  <w:num w:numId="4">
    <w:abstractNumId w:val="6"/>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6B8"/>
    <w:rsid w:val="00200DA8"/>
    <w:rsid w:val="002B5F6E"/>
    <w:rsid w:val="002D2D27"/>
    <w:rsid w:val="00303DC6"/>
    <w:rsid w:val="0039376A"/>
    <w:rsid w:val="003F7CCB"/>
    <w:rsid w:val="004116D6"/>
    <w:rsid w:val="004401C6"/>
    <w:rsid w:val="006340B4"/>
    <w:rsid w:val="00664E04"/>
    <w:rsid w:val="00671C6A"/>
    <w:rsid w:val="007D0F43"/>
    <w:rsid w:val="00834E4E"/>
    <w:rsid w:val="0090021D"/>
    <w:rsid w:val="0094363C"/>
    <w:rsid w:val="00A022AE"/>
    <w:rsid w:val="00A40F50"/>
    <w:rsid w:val="00AB7DD7"/>
    <w:rsid w:val="00B1165A"/>
    <w:rsid w:val="00B2166B"/>
    <w:rsid w:val="00C12828"/>
    <w:rsid w:val="00C238F9"/>
    <w:rsid w:val="00C251EE"/>
    <w:rsid w:val="00E04E02"/>
    <w:rsid w:val="00E156B8"/>
    <w:rsid w:val="00EC49EE"/>
    <w:rsid w:val="00FE00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sz w:val="24"/>
      <w:u w:val="single"/>
    </w:rPr>
  </w:style>
  <w:style w:type="paragraph" w:styleId="Heading4">
    <w:name w:val="heading 4"/>
    <w:basedOn w:val="Normal"/>
    <w:next w:val="Normal"/>
    <w:qFormat/>
    <w:pPr>
      <w:keepNext/>
      <w:tabs>
        <w:tab w:val="left" w:pos="360"/>
      </w:tabs>
      <w:outlineLvl w:val="3"/>
    </w:pPr>
    <w:rPr>
      <w:rFonts w:ascii="Times New Roman" w:hAnsi="Times New Roman"/>
      <w:b/>
      <w:sz w:val="24"/>
      <w:u w:val="single"/>
    </w:rPr>
  </w:style>
  <w:style w:type="paragraph" w:styleId="Heading5">
    <w:name w:val="heading 5"/>
    <w:basedOn w:val="Normal"/>
    <w:next w:val="Normal"/>
    <w:qFormat/>
    <w:pPr>
      <w:keepNext/>
      <w:jc w:val="center"/>
      <w:outlineLvl w:val="4"/>
    </w:pPr>
    <w:rPr>
      <w:rFonts w:ascii="Times New Roman" w:hAnsi="Times New Roman"/>
      <w:b/>
      <w:sz w:val="24"/>
    </w:rPr>
  </w:style>
  <w:style w:type="paragraph" w:styleId="Heading6">
    <w:name w:val="heading 6"/>
    <w:basedOn w:val="Normal"/>
    <w:next w:val="Normal"/>
    <w:qFormat/>
    <w:pPr>
      <w:keepNext/>
      <w:ind w:left="4320" w:firstLine="720"/>
      <w:outlineLvl w:val="5"/>
    </w:pPr>
    <w:rPr>
      <w:rFonts w:ascii="Times New Roman" w:hAnsi="Times New Roman"/>
      <w:sz w:val="24"/>
    </w:rPr>
  </w:style>
  <w:style w:type="paragraph" w:styleId="Heading7">
    <w:name w:val="heading 7"/>
    <w:basedOn w:val="Normal"/>
    <w:next w:val="Normal"/>
    <w:qFormat/>
    <w:pPr>
      <w:keepNext/>
      <w:ind w:left="1440" w:firstLine="720"/>
      <w:outlineLvl w:val="6"/>
    </w:pPr>
    <w:rPr>
      <w:rFonts w:ascii="Times New Roman" w:hAnsi="Times New Roman"/>
      <w:sz w:val="24"/>
    </w:rPr>
  </w:style>
  <w:style w:type="paragraph" w:styleId="Heading8">
    <w:name w:val="heading 8"/>
    <w:basedOn w:val="Normal"/>
    <w:next w:val="Normal"/>
    <w:qFormat/>
    <w:pPr>
      <w:keepNext/>
      <w:outlineLvl w:val="7"/>
    </w:pPr>
    <w:rPr>
      <w:rFonts w:ascii="Garamond" w:hAnsi="Garamond"/>
      <w:sz w:val="28"/>
    </w:rPr>
  </w:style>
  <w:style w:type="paragraph" w:styleId="Heading9">
    <w:name w:val="heading 9"/>
    <w:basedOn w:val="Normal"/>
    <w:next w:val="Normal"/>
    <w:qFormat/>
    <w:pPr>
      <w:keepNext/>
      <w:tabs>
        <w:tab w:val="left" w:pos="360"/>
      </w:tabs>
      <w:ind w:left="360" w:hanging="360"/>
      <w:outlineLvl w:val="8"/>
    </w:pPr>
    <w:rPr>
      <w:rFonts w:ascii="Garamond" w:hAnsi="Garamond"/>
      <w:b/>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rPr>
  </w:style>
  <w:style w:type="paragraph" w:styleId="BodyTextIndent2">
    <w:name w:val="Body Text Indent 2"/>
    <w:basedOn w:val="Normal"/>
    <w:pPr>
      <w:ind w:left="720" w:firstLine="720"/>
    </w:pPr>
    <w:rPr>
      <w:rFonts w:ascii="Times New Roman" w:hAnsi="Times New Roman"/>
      <w:sz w:val="24"/>
    </w:rPr>
  </w:style>
  <w:style w:type="paragraph" w:styleId="Title">
    <w:name w:val="Title"/>
    <w:basedOn w:val="Normal"/>
    <w:qFormat/>
    <w:pPr>
      <w:jc w:val="center"/>
    </w:pPr>
    <w:rPr>
      <w:rFonts w:ascii="Times New Roman" w:hAnsi="Times New Roman"/>
      <w:b/>
      <w:sz w:val="24"/>
    </w:rPr>
  </w:style>
  <w:style w:type="paragraph" w:styleId="BodyTextIndent3">
    <w:name w:val="Body Text Indent 3"/>
    <w:basedOn w:val="Normal"/>
    <w:pPr>
      <w:ind w:left="1440" w:hanging="720"/>
    </w:pPr>
    <w:rPr>
      <w:rFonts w:ascii="Times New Roman" w:hAnsi="Times New Roman"/>
      <w:sz w:val="24"/>
    </w:rPr>
  </w:style>
  <w:style w:type="paragraph" w:styleId="BodyText">
    <w:name w:val="Body Text"/>
    <w:basedOn w:val="Normal"/>
    <w:pPr>
      <w:tabs>
        <w:tab w:val="left" w:pos="360"/>
      </w:tabs>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tabs>
        <w:tab w:val="left" w:pos="360"/>
      </w:tabs>
      <w:ind w:left="720" w:right="720"/>
    </w:pPr>
    <w:rPr>
      <w:rFonts w:ascii="Times New Roman" w:hAnsi="Times New Roman"/>
      <w:sz w:val="24"/>
    </w:rPr>
  </w:style>
  <w:style w:type="paragraph" w:styleId="BodyText20">
    <w:name w:val="Body Text 2"/>
    <w:basedOn w:val="Normal"/>
    <w:pPr>
      <w:tabs>
        <w:tab w:val="left" w:pos="360"/>
      </w:tabs>
      <w:ind w:left="360" w:hanging="360"/>
    </w:pPr>
    <w:rPr>
      <w:rFonts w:ascii="Times New Roman" w:hAnsi="Times New Roman"/>
      <w:sz w:val="24"/>
    </w:rPr>
  </w:style>
  <w:style w:type="paragraph" w:styleId="BodyText21">
    <w:name w:val="Body Text 2"/>
    <w:basedOn w:val="Normal"/>
    <w:pPr>
      <w:ind w:left="720"/>
    </w:pPr>
    <w:rPr>
      <w:rFonts w:ascii="Times New Roman" w:hAnsi="Times New Roman"/>
      <w:sz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sz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sz w:val="24"/>
      <w:u w:val="single"/>
    </w:rPr>
  </w:style>
  <w:style w:type="paragraph" w:styleId="Heading4">
    <w:name w:val="heading 4"/>
    <w:basedOn w:val="Normal"/>
    <w:next w:val="Normal"/>
    <w:qFormat/>
    <w:pPr>
      <w:keepNext/>
      <w:tabs>
        <w:tab w:val="left" w:pos="360"/>
      </w:tabs>
      <w:outlineLvl w:val="3"/>
    </w:pPr>
    <w:rPr>
      <w:rFonts w:ascii="Times New Roman" w:hAnsi="Times New Roman"/>
      <w:b/>
      <w:sz w:val="24"/>
      <w:u w:val="single"/>
    </w:rPr>
  </w:style>
  <w:style w:type="paragraph" w:styleId="Heading5">
    <w:name w:val="heading 5"/>
    <w:basedOn w:val="Normal"/>
    <w:next w:val="Normal"/>
    <w:qFormat/>
    <w:pPr>
      <w:keepNext/>
      <w:jc w:val="center"/>
      <w:outlineLvl w:val="4"/>
    </w:pPr>
    <w:rPr>
      <w:rFonts w:ascii="Times New Roman" w:hAnsi="Times New Roman"/>
      <w:b/>
      <w:sz w:val="24"/>
    </w:rPr>
  </w:style>
  <w:style w:type="paragraph" w:styleId="Heading6">
    <w:name w:val="heading 6"/>
    <w:basedOn w:val="Normal"/>
    <w:next w:val="Normal"/>
    <w:qFormat/>
    <w:pPr>
      <w:keepNext/>
      <w:ind w:left="4320" w:firstLine="720"/>
      <w:outlineLvl w:val="5"/>
    </w:pPr>
    <w:rPr>
      <w:rFonts w:ascii="Times New Roman" w:hAnsi="Times New Roman"/>
      <w:sz w:val="24"/>
    </w:rPr>
  </w:style>
  <w:style w:type="paragraph" w:styleId="Heading7">
    <w:name w:val="heading 7"/>
    <w:basedOn w:val="Normal"/>
    <w:next w:val="Normal"/>
    <w:qFormat/>
    <w:pPr>
      <w:keepNext/>
      <w:ind w:left="1440" w:firstLine="720"/>
      <w:outlineLvl w:val="6"/>
    </w:pPr>
    <w:rPr>
      <w:rFonts w:ascii="Times New Roman" w:hAnsi="Times New Roman"/>
      <w:sz w:val="24"/>
    </w:rPr>
  </w:style>
  <w:style w:type="paragraph" w:styleId="Heading8">
    <w:name w:val="heading 8"/>
    <w:basedOn w:val="Normal"/>
    <w:next w:val="Normal"/>
    <w:qFormat/>
    <w:pPr>
      <w:keepNext/>
      <w:outlineLvl w:val="7"/>
    </w:pPr>
    <w:rPr>
      <w:rFonts w:ascii="Garamond" w:hAnsi="Garamond"/>
      <w:sz w:val="28"/>
    </w:rPr>
  </w:style>
  <w:style w:type="paragraph" w:styleId="Heading9">
    <w:name w:val="heading 9"/>
    <w:basedOn w:val="Normal"/>
    <w:next w:val="Normal"/>
    <w:qFormat/>
    <w:pPr>
      <w:keepNext/>
      <w:tabs>
        <w:tab w:val="left" w:pos="360"/>
      </w:tabs>
      <w:ind w:left="360" w:hanging="360"/>
      <w:outlineLvl w:val="8"/>
    </w:pPr>
    <w:rPr>
      <w:rFonts w:ascii="Garamond" w:hAnsi="Garamond"/>
      <w:b/>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rPr>
  </w:style>
  <w:style w:type="paragraph" w:styleId="BodyTextIndent2">
    <w:name w:val="Body Text Indent 2"/>
    <w:basedOn w:val="Normal"/>
    <w:pPr>
      <w:ind w:left="720" w:firstLine="720"/>
    </w:pPr>
    <w:rPr>
      <w:rFonts w:ascii="Times New Roman" w:hAnsi="Times New Roman"/>
      <w:sz w:val="24"/>
    </w:rPr>
  </w:style>
  <w:style w:type="paragraph" w:styleId="Title">
    <w:name w:val="Title"/>
    <w:basedOn w:val="Normal"/>
    <w:qFormat/>
    <w:pPr>
      <w:jc w:val="center"/>
    </w:pPr>
    <w:rPr>
      <w:rFonts w:ascii="Times New Roman" w:hAnsi="Times New Roman"/>
      <w:b/>
      <w:sz w:val="24"/>
    </w:rPr>
  </w:style>
  <w:style w:type="paragraph" w:styleId="BodyTextIndent3">
    <w:name w:val="Body Text Indent 3"/>
    <w:basedOn w:val="Normal"/>
    <w:pPr>
      <w:ind w:left="1440" w:hanging="720"/>
    </w:pPr>
    <w:rPr>
      <w:rFonts w:ascii="Times New Roman" w:hAnsi="Times New Roman"/>
      <w:sz w:val="24"/>
    </w:rPr>
  </w:style>
  <w:style w:type="paragraph" w:styleId="BodyText">
    <w:name w:val="Body Text"/>
    <w:basedOn w:val="Normal"/>
    <w:pPr>
      <w:tabs>
        <w:tab w:val="left" w:pos="360"/>
      </w:tabs>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tabs>
        <w:tab w:val="left" w:pos="360"/>
      </w:tabs>
      <w:ind w:left="720" w:right="720"/>
    </w:pPr>
    <w:rPr>
      <w:rFonts w:ascii="Times New Roman" w:hAnsi="Times New Roman"/>
      <w:sz w:val="24"/>
    </w:rPr>
  </w:style>
  <w:style w:type="paragraph" w:styleId="BodyText20">
    <w:name w:val="Body Text 2"/>
    <w:basedOn w:val="Normal"/>
    <w:pPr>
      <w:tabs>
        <w:tab w:val="left" w:pos="360"/>
      </w:tabs>
      <w:ind w:left="360" w:hanging="360"/>
    </w:pPr>
    <w:rPr>
      <w:rFonts w:ascii="Times New Roman" w:hAnsi="Times New Roman"/>
      <w:sz w:val="24"/>
    </w:rPr>
  </w:style>
  <w:style w:type="paragraph" w:styleId="BodyText21">
    <w:name w:val="Body Text 2"/>
    <w:basedOn w:val="Normal"/>
    <w:pPr>
      <w:ind w:left="720"/>
    </w:pPr>
    <w:rPr>
      <w:rFonts w:ascii="Times New Roman" w:hAnsi="Times New Roman"/>
      <w:sz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sz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1656</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11079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3</cp:revision>
  <cp:lastPrinted>2002-07-16T08:43:00Z</cp:lastPrinted>
  <dcterms:created xsi:type="dcterms:W3CDTF">2013-05-15T07:31:00Z</dcterms:created>
  <dcterms:modified xsi:type="dcterms:W3CDTF">2013-05-15T08:13:00Z</dcterms:modified>
</cp:coreProperties>
</file>