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A7B" w:rsidRDefault="008C2E2A">
      <w:pPr>
        <w:tabs>
          <w:tab w:val="left" w:pos="360"/>
        </w:tabs>
        <w:jc w:val="center"/>
        <w:rPr>
          <w:rFonts w:ascii="Garamond" w:hAnsi="Garamond"/>
          <w:b/>
          <w:sz w:val="24"/>
        </w:rPr>
      </w:pPr>
      <w:r>
        <w:rPr>
          <w:rFonts w:ascii="Garamond" w:hAnsi="Garamond"/>
          <w:b/>
          <w:sz w:val="24"/>
        </w:rPr>
        <w:t>LECTURE</w:t>
      </w:r>
      <w:r w:rsidR="000E1A7B">
        <w:rPr>
          <w:rFonts w:ascii="Garamond" w:hAnsi="Garamond"/>
          <w:b/>
          <w:sz w:val="24"/>
        </w:rPr>
        <w:t xml:space="preserve"> 3</w:t>
      </w:r>
    </w:p>
    <w:p w:rsidR="008C2E2A" w:rsidRDefault="008C2E2A">
      <w:pPr>
        <w:tabs>
          <w:tab w:val="left" w:pos="360"/>
        </w:tabs>
        <w:jc w:val="center"/>
        <w:rPr>
          <w:rFonts w:ascii="Garamond" w:hAnsi="Garamond"/>
          <w:b/>
          <w:sz w:val="24"/>
        </w:rPr>
      </w:pPr>
      <w:r>
        <w:rPr>
          <w:rFonts w:ascii="Garamond" w:hAnsi="Garamond"/>
          <w:b/>
          <w:sz w:val="24"/>
        </w:rPr>
        <w:t xml:space="preserve">Marketing Imagination and the </w:t>
      </w:r>
      <w:proofErr w:type="spellStart"/>
      <w:r>
        <w:rPr>
          <w:rFonts w:ascii="Garamond" w:hAnsi="Garamond"/>
          <w:b/>
          <w:sz w:val="24"/>
        </w:rPr>
        <w:t>Passionpoint</w:t>
      </w:r>
      <w:proofErr w:type="spellEnd"/>
    </w:p>
    <w:p w:rsidR="000E1A7B" w:rsidRDefault="000E1A7B">
      <w:pPr>
        <w:tabs>
          <w:tab w:val="left" w:pos="360"/>
        </w:tabs>
        <w:jc w:val="center"/>
        <w:rPr>
          <w:rFonts w:ascii="Garamond" w:hAnsi="Garamond"/>
          <w:b/>
          <w:sz w:val="24"/>
        </w:rPr>
      </w:pPr>
      <w:r>
        <w:rPr>
          <w:rFonts w:ascii="Garamond" w:hAnsi="Garamond"/>
          <w:b/>
          <w:sz w:val="24"/>
        </w:rPr>
        <w:t>Brand Positioning and Values</w:t>
      </w:r>
    </w:p>
    <w:p w:rsidR="000E1A7B" w:rsidRDefault="000E1A7B">
      <w:pPr>
        <w:tabs>
          <w:tab w:val="left" w:pos="360"/>
        </w:tabs>
        <w:rPr>
          <w:rFonts w:ascii="Garamond" w:hAnsi="Garamond"/>
          <w:sz w:val="24"/>
        </w:rPr>
      </w:pPr>
    </w:p>
    <w:p w:rsidR="000E1A7B" w:rsidRDefault="000E1A7B">
      <w:pPr>
        <w:pStyle w:val="Heading2"/>
        <w:rPr>
          <w:rFonts w:ascii="Garamond" w:hAnsi="Garamond"/>
          <w:b/>
          <w:u w:val="single"/>
        </w:rPr>
      </w:pPr>
      <w:r>
        <w:rPr>
          <w:rFonts w:ascii="Garamond" w:hAnsi="Garamond"/>
          <w:b/>
          <w:u w:val="single"/>
        </w:rPr>
        <w:t>Overview</w:t>
      </w:r>
    </w:p>
    <w:p w:rsidR="000E1A7B" w:rsidRDefault="000E1A7B">
      <w:pPr>
        <w:tabs>
          <w:tab w:val="left" w:pos="360"/>
        </w:tabs>
        <w:rPr>
          <w:rFonts w:ascii="Garamond" w:hAnsi="Garamond"/>
          <w:sz w:val="24"/>
        </w:rPr>
      </w:pPr>
      <w:r>
        <w:rPr>
          <w:rFonts w:ascii="Garamond" w:hAnsi="Garamond"/>
          <w:sz w:val="24"/>
        </w:rPr>
        <w:t xml:space="preserve">This chapter deals in greater detail with brand positioning and the key role it plays in creating positive brand equity. Positioning refers to the place in consumers’ minds occupied by the brand. The positioning strategy a marketer adopts for a brand will influence the knowledge structures consumers develop. </w:t>
      </w:r>
    </w:p>
    <w:p w:rsidR="000E1A7B" w:rsidRDefault="000E1A7B">
      <w:pPr>
        <w:tabs>
          <w:tab w:val="left" w:pos="360"/>
        </w:tabs>
        <w:rPr>
          <w:rFonts w:ascii="Garamond" w:hAnsi="Garamond"/>
          <w:sz w:val="24"/>
        </w:rPr>
      </w:pPr>
    </w:p>
    <w:p w:rsidR="000E1A7B" w:rsidRDefault="000E1A7B">
      <w:pPr>
        <w:tabs>
          <w:tab w:val="left" w:pos="360"/>
        </w:tabs>
        <w:rPr>
          <w:rFonts w:ascii="Garamond" w:hAnsi="Garamond"/>
          <w:sz w:val="24"/>
        </w:rPr>
      </w:pPr>
      <w:r>
        <w:rPr>
          <w:rFonts w:ascii="Garamond" w:hAnsi="Garamond"/>
          <w:sz w:val="24"/>
        </w:rPr>
        <w:t xml:space="preserve">The chapter addresses how ideal or desired brand knowledge structures can be defined with respect to brand positioning. This involves selecting a target market, segmenting the market, and evaluating the competition. With respect to competition, positioning the brand with points-of-parity and points-of-difference is discussed next. Points-of-difference are characteristics unique to the brand that help distinguish it from the competition, while points-of-parity may be shared by other brands in a given category. </w:t>
      </w:r>
    </w:p>
    <w:p w:rsidR="000E1A7B" w:rsidRDefault="000E1A7B">
      <w:pPr>
        <w:tabs>
          <w:tab w:val="left" w:pos="360"/>
        </w:tabs>
        <w:rPr>
          <w:rFonts w:ascii="Garamond" w:hAnsi="Garamond"/>
          <w:sz w:val="24"/>
        </w:rPr>
      </w:pPr>
    </w:p>
    <w:p w:rsidR="000E1A7B" w:rsidRDefault="000E1A7B">
      <w:pPr>
        <w:tabs>
          <w:tab w:val="left" w:pos="360"/>
        </w:tabs>
        <w:rPr>
          <w:rFonts w:ascii="Garamond" w:hAnsi="Garamond"/>
          <w:sz w:val="24"/>
        </w:rPr>
      </w:pPr>
      <w:r>
        <w:rPr>
          <w:rFonts w:ascii="Garamond" w:hAnsi="Garamond"/>
          <w:sz w:val="24"/>
        </w:rPr>
        <w:t>Once a brand has an established positioning, it may be necessary to update the positioning over time. The chapter discusses the laddering technique used to deepen the meaning of brand associations in the minds of consumers. The chapter also details how marketers can change positioning in re</w:t>
      </w:r>
      <w:r w:rsidR="00023249">
        <w:rPr>
          <w:rFonts w:ascii="Garamond" w:hAnsi="Garamond"/>
          <w:sz w:val="24"/>
        </w:rPr>
        <w:t xml:space="preserve">sponse to competition by </w:t>
      </w:r>
      <w:proofErr w:type="gramStart"/>
      <w:r w:rsidR="00023249">
        <w:rPr>
          <w:rFonts w:ascii="Garamond" w:hAnsi="Garamond"/>
          <w:sz w:val="24"/>
        </w:rPr>
        <w:t xml:space="preserve">either </w:t>
      </w:r>
      <w:r>
        <w:rPr>
          <w:rFonts w:ascii="Garamond" w:hAnsi="Garamond"/>
          <w:sz w:val="24"/>
        </w:rPr>
        <w:t>doing</w:t>
      </w:r>
      <w:proofErr w:type="gramEnd"/>
      <w:r>
        <w:rPr>
          <w:rFonts w:ascii="Garamond" w:hAnsi="Garamond"/>
          <w:sz w:val="24"/>
        </w:rPr>
        <w:t xml:space="preserve"> nothing, going on the offensive, or going on the defensive. </w:t>
      </w:r>
    </w:p>
    <w:p w:rsidR="000E1A7B" w:rsidRDefault="000E1A7B">
      <w:pPr>
        <w:tabs>
          <w:tab w:val="left" w:pos="360"/>
        </w:tabs>
        <w:rPr>
          <w:rFonts w:ascii="Garamond" w:hAnsi="Garamond"/>
          <w:sz w:val="24"/>
        </w:rPr>
      </w:pPr>
    </w:p>
    <w:p w:rsidR="000E1A7B" w:rsidRDefault="000E1A7B">
      <w:pPr>
        <w:tabs>
          <w:tab w:val="left" w:pos="360"/>
        </w:tabs>
        <w:rPr>
          <w:rFonts w:ascii="Garamond" w:hAnsi="Garamond"/>
          <w:sz w:val="24"/>
        </w:rPr>
      </w:pPr>
      <w:r>
        <w:rPr>
          <w:rFonts w:ascii="Garamond" w:hAnsi="Garamond"/>
          <w:sz w:val="24"/>
        </w:rPr>
        <w:t xml:space="preserve">Next, the internal aspects of branding are explored. The chapter provides information on how to establish brand values. Marketers can use a mental map to represent all associations and responses consumers have regarding the brand. The core brand values are the five or ten most important attributes or benefits of the brand that appear on the mental map. A brand mantra can capture the core brand values and provide the essence of the brand in a short phrase. Next, the importance of internal branding is discussed. </w:t>
      </w:r>
    </w:p>
    <w:p w:rsidR="00023249" w:rsidRDefault="00023249">
      <w:pPr>
        <w:tabs>
          <w:tab w:val="left" w:pos="360"/>
        </w:tabs>
        <w:rPr>
          <w:rFonts w:ascii="Garamond" w:hAnsi="Garamond"/>
          <w:sz w:val="24"/>
        </w:rPr>
      </w:pPr>
    </w:p>
    <w:p w:rsidR="00023249" w:rsidRDefault="00023249">
      <w:pPr>
        <w:tabs>
          <w:tab w:val="left" w:pos="360"/>
        </w:tabs>
        <w:rPr>
          <w:rFonts w:ascii="Garamond" w:hAnsi="Garamond"/>
          <w:sz w:val="24"/>
        </w:rPr>
      </w:pPr>
      <w:r>
        <w:rPr>
          <w:rFonts w:ascii="Garamond" w:hAnsi="Garamond"/>
          <w:sz w:val="24"/>
        </w:rPr>
        <w:t xml:space="preserve">Finally, this chapter concludes by detailing the process of a brand audit. </w:t>
      </w:r>
      <w:proofErr w:type="gramStart"/>
      <w:r w:rsidRPr="00023249">
        <w:rPr>
          <w:rFonts w:ascii="Garamond" w:hAnsi="Garamond"/>
          <w:bCs/>
          <w:sz w:val="24"/>
        </w:rPr>
        <w:t>an</w:t>
      </w:r>
      <w:proofErr w:type="gramEnd"/>
      <w:r w:rsidRPr="00023249">
        <w:rPr>
          <w:rFonts w:ascii="Garamond" w:hAnsi="Garamond"/>
          <w:bCs/>
          <w:sz w:val="24"/>
        </w:rPr>
        <w:t xml:space="preserve"> important informational and diagnostic tool to help marketers determine the overall state and health of the brand. The two steps of the brand audit, the brand inventory and the brand exploratory, provide marketers with a complete picture of the brand and consumers’ perceptions of it.  This Brand Focus can help students if they are conducting a brand audit project and can be </w:t>
      </w:r>
      <w:proofErr w:type="gramStart"/>
      <w:r w:rsidRPr="00023249">
        <w:rPr>
          <w:rFonts w:ascii="Garamond" w:hAnsi="Garamond"/>
          <w:bCs/>
          <w:sz w:val="24"/>
        </w:rPr>
        <w:t>highlighted</w:t>
      </w:r>
      <w:proofErr w:type="gramEnd"/>
      <w:r w:rsidRPr="00023249">
        <w:rPr>
          <w:rFonts w:ascii="Garamond" w:hAnsi="Garamond"/>
          <w:bCs/>
          <w:sz w:val="24"/>
        </w:rPr>
        <w:t xml:space="preserve"> as such in the course syllabus.</w:t>
      </w:r>
    </w:p>
    <w:p w:rsidR="000E1A7B" w:rsidRDefault="000E1A7B">
      <w:pPr>
        <w:tabs>
          <w:tab w:val="left" w:pos="360"/>
        </w:tabs>
        <w:rPr>
          <w:rFonts w:ascii="Garamond" w:hAnsi="Garamond"/>
          <w:sz w:val="24"/>
        </w:rPr>
      </w:pPr>
      <w:r>
        <w:rPr>
          <w:rFonts w:ascii="Garamond" w:hAnsi="Garamond"/>
          <w:sz w:val="24"/>
        </w:rPr>
        <w:t xml:space="preserve"> </w:t>
      </w:r>
    </w:p>
    <w:p w:rsidR="000E1A7B" w:rsidRPr="00023249" w:rsidRDefault="000E1A7B" w:rsidP="00023249">
      <w:pPr>
        <w:tabs>
          <w:tab w:val="left" w:pos="360"/>
        </w:tabs>
        <w:rPr>
          <w:rFonts w:ascii="Garamond" w:hAnsi="Garamond"/>
          <w:bCs/>
          <w:sz w:val="24"/>
        </w:rPr>
      </w:pPr>
      <w:r w:rsidRPr="00023249">
        <w:rPr>
          <w:rFonts w:ascii="Garamond" w:hAnsi="Garamond"/>
          <w:bCs/>
          <w:sz w:val="24"/>
        </w:rPr>
        <w:t>Brand Focus 3.0 at the end of the chapter</w:t>
      </w:r>
      <w:r w:rsidR="009E6E68" w:rsidRPr="00023249">
        <w:rPr>
          <w:rFonts w:ascii="Garamond" w:hAnsi="Garamond"/>
          <w:bCs/>
          <w:sz w:val="24"/>
        </w:rPr>
        <w:t xml:space="preserve"> discusses the Brand Audit for </w:t>
      </w:r>
      <w:r w:rsidR="00023249">
        <w:rPr>
          <w:rFonts w:ascii="Garamond" w:hAnsi="Garamond"/>
          <w:bCs/>
          <w:sz w:val="24"/>
        </w:rPr>
        <w:t xml:space="preserve">the </w:t>
      </w:r>
      <w:r w:rsidR="009E6E68" w:rsidRPr="00023249">
        <w:rPr>
          <w:rFonts w:ascii="Garamond" w:hAnsi="Garamond"/>
          <w:bCs/>
          <w:sz w:val="24"/>
        </w:rPr>
        <w:t>Rolex</w:t>
      </w:r>
      <w:r w:rsidR="00023249">
        <w:rPr>
          <w:rFonts w:ascii="Garamond" w:hAnsi="Garamond"/>
          <w:bCs/>
          <w:sz w:val="24"/>
        </w:rPr>
        <w:t xml:space="preserve"> brand</w:t>
      </w:r>
      <w:r w:rsidR="009E6E68" w:rsidRPr="00023249">
        <w:rPr>
          <w:rFonts w:ascii="Garamond" w:hAnsi="Garamond"/>
          <w:bCs/>
          <w:sz w:val="24"/>
        </w:rPr>
        <w:t>.</w:t>
      </w:r>
      <w:r w:rsidR="003E77BA">
        <w:rPr>
          <w:rFonts w:ascii="Garamond" w:hAnsi="Garamond"/>
          <w:bCs/>
          <w:sz w:val="24"/>
        </w:rPr>
        <w:t xml:space="preserve"> It could be used as an illustration of how brand audits are conducted.</w:t>
      </w:r>
      <w:r w:rsidRPr="00023249">
        <w:rPr>
          <w:rFonts w:ascii="Garamond" w:hAnsi="Garamond"/>
          <w:bCs/>
          <w:sz w:val="24"/>
        </w:rPr>
        <w:t xml:space="preserve"> </w:t>
      </w:r>
    </w:p>
    <w:p w:rsidR="000E1A7B" w:rsidRDefault="000E1A7B">
      <w:pPr>
        <w:tabs>
          <w:tab w:val="left" w:pos="360"/>
        </w:tabs>
        <w:rPr>
          <w:rFonts w:ascii="Garamond" w:hAnsi="Garamond"/>
          <w:sz w:val="24"/>
        </w:rPr>
      </w:pPr>
    </w:p>
    <w:p w:rsidR="000E1A7B" w:rsidRPr="00DE6DAA" w:rsidRDefault="000E1A7B">
      <w:pPr>
        <w:pStyle w:val="Heading4"/>
        <w:rPr>
          <w:rFonts w:ascii="Garamond" w:hAnsi="Garamond"/>
          <w:b w:val="0"/>
          <w:u w:val="none"/>
        </w:rPr>
      </w:pPr>
      <w:r>
        <w:rPr>
          <w:rFonts w:ascii="Garamond" w:hAnsi="Garamond"/>
        </w:rPr>
        <w:t>Branding Briefs</w:t>
      </w:r>
    </w:p>
    <w:p w:rsidR="008C2E2A" w:rsidRDefault="008C2E2A">
      <w:pPr>
        <w:tabs>
          <w:tab w:val="left" w:pos="360"/>
        </w:tabs>
        <w:rPr>
          <w:rFonts w:ascii="Garamond" w:hAnsi="Garamond"/>
          <w:sz w:val="24"/>
        </w:rPr>
      </w:pPr>
    </w:p>
    <w:p w:rsidR="000E1A7B" w:rsidRDefault="00C42626">
      <w:pPr>
        <w:tabs>
          <w:tab w:val="left" w:pos="360"/>
        </w:tabs>
        <w:rPr>
          <w:rFonts w:ascii="Garamond" w:hAnsi="Garamond"/>
          <w:sz w:val="24"/>
        </w:rPr>
      </w:pPr>
      <w:r>
        <w:rPr>
          <w:rFonts w:ascii="Garamond" w:hAnsi="Garamond"/>
          <w:sz w:val="24"/>
        </w:rPr>
        <w:t xml:space="preserve">3-1: </w:t>
      </w:r>
      <w:r w:rsidRPr="00DE6DAA">
        <w:rPr>
          <w:rFonts w:ascii="Garamond" w:hAnsi="Garamond"/>
          <w:sz w:val="24"/>
        </w:rPr>
        <w:t>Trying</w:t>
      </w:r>
      <w:r w:rsidRPr="00C515C9">
        <w:rPr>
          <w:rFonts w:ascii="Book Antiqua" w:hAnsi="Book Antiqua"/>
          <w:b/>
          <w:sz w:val="24"/>
          <w:szCs w:val="24"/>
        </w:rPr>
        <w:t xml:space="preserve"> </w:t>
      </w:r>
      <w:r w:rsidRPr="00DE6DAA">
        <w:rPr>
          <w:rFonts w:ascii="Garamond" w:hAnsi="Garamond"/>
          <w:sz w:val="24"/>
        </w:rPr>
        <w:t>to Find Some Homes for New Diet Colas</w:t>
      </w:r>
    </w:p>
    <w:p w:rsidR="000E1A7B" w:rsidRDefault="000E1A7B">
      <w:pPr>
        <w:tabs>
          <w:tab w:val="left" w:pos="360"/>
        </w:tabs>
        <w:rPr>
          <w:rFonts w:ascii="Garamond" w:hAnsi="Garamond"/>
          <w:sz w:val="24"/>
        </w:rPr>
      </w:pPr>
      <w:r>
        <w:rPr>
          <w:rFonts w:ascii="Garamond" w:hAnsi="Garamond"/>
          <w:sz w:val="24"/>
        </w:rPr>
        <w:t>3-2: Dividing Up Gasoline Buyers</w:t>
      </w:r>
    </w:p>
    <w:p w:rsidR="000E1A7B" w:rsidRDefault="000E1A7B">
      <w:pPr>
        <w:tabs>
          <w:tab w:val="left" w:pos="360"/>
        </w:tabs>
        <w:rPr>
          <w:rFonts w:ascii="Garamond" w:hAnsi="Garamond"/>
          <w:sz w:val="24"/>
        </w:rPr>
      </w:pPr>
      <w:r>
        <w:rPr>
          <w:rFonts w:ascii="Garamond" w:hAnsi="Garamond"/>
          <w:sz w:val="24"/>
        </w:rPr>
        <w:t xml:space="preserve">3-3: </w:t>
      </w:r>
      <w:r w:rsidR="00D77F52">
        <w:rPr>
          <w:rFonts w:ascii="Garamond" w:hAnsi="Garamond"/>
          <w:sz w:val="24"/>
        </w:rPr>
        <w:t>Digital Convergence Changing the Consumer Electronics Industry</w:t>
      </w:r>
    </w:p>
    <w:p w:rsidR="000E1A7B" w:rsidRDefault="000E7445">
      <w:pPr>
        <w:tabs>
          <w:tab w:val="left" w:pos="360"/>
        </w:tabs>
        <w:rPr>
          <w:rFonts w:ascii="Garamond" w:hAnsi="Garamond"/>
          <w:sz w:val="24"/>
        </w:rPr>
      </w:pPr>
      <w:r>
        <w:rPr>
          <w:rFonts w:ascii="Garamond" w:hAnsi="Garamond"/>
          <w:sz w:val="24"/>
        </w:rPr>
        <w:t>3-4</w:t>
      </w:r>
      <w:r w:rsidR="000E1A7B">
        <w:rPr>
          <w:rFonts w:ascii="Garamond" w:hAnsi="Garamond"/>
          <w:sz w:val="24"/>
        </w:rPr>
        <w:t>: Competitive Frames of Reference for FedEx</w:t>
      </w:r>
    </w:p>
    <w:p w:rsidR="000E1A7B" w:rsidRDefault="000E7445">
      <w:pPr>
        <w:tabs>
          <w:tab w:val="left" w:pos="360"/>
        </w:tabs>
        <w:rPr>
          <w:rFonts w:ascii="Garamond" w:hAnsi="Garamond"/>
          <w:sz w:val="24"/>
        </w:rPr>
      </w:pPr>
      <w:r>
        <w:rPr>
          <w:rFonts w:ascii="Garamond" w:hAnsi="Garamond"/>
          <w:sz w:val="24"/>
        </w:rPr>
        <w:t>3-5</w:t>
      </w:r>
      <w:r w:rsidR="000E1A7B">
        <w:rPr>
          <w:rFonts w:ascii="Garamond" w:hAnsi="Garamond"/>
          <w:sz w:val="24"/>
        </w:rPr>
        <w:t>: Positioning Politicians</w:t>
      </w:r>
    </w:p>
    <w:p w:rsidR="000E1A7B" w:rsidRDefault="000E7445">
      <w:pPr>
        <w:tabs>
          <w:tab w:val="left" w:pos="360"/>
        </w:tabs>
        <w:rPr>
          <w:rFonts w:ascii="Garamond" w:hAnsi="Garamond"/>
          <w:sz w:val="24"/>
        </w:rPr>
      </w:pPr>
      <w:r>
        <w:rPr>
          <w:rFonts w:ascii="Garamond" w:hAnsi="Garamond"/>
          <w:sz w:val="24"/>
        </w:rPr>
        <w:t>3-6</w:t>
      </w:r>
      <w:r w:rsidR="000E1A7B">
        <w:rPr>
          <w:rFonts w:ascii="Garamond" w:hAnsi="Garamond"/>
          <w:sz w:val="24"/>
        </w:rPr>
        <w:t>: Nike Brand Mantra</w:t>
      </w:r>
    </w:p>
    <w:p w:rsidR="000E1A7B" w:rsidRDefault="000E7445">
      <w:pPr>
        <w:tabs>
          <w:tab w:val="left" w:pos="360"/>
        </w:tabs>
        <w:rPr>
          <w:rFonts w:ascii="Garamond" w:hAnsi="Garamond"/>
          <w:sz w:val="24"/>
        </w:rPr>
      </w:pPr>
      <w:r>
        <w:rPr>
          <w:rFonts w:ascii="Garamond" w:hAnsi="Garamond"/>
          <w:sz w:val="24"/>
        </w:rPr>
        <w:lastRenderedPageBreak/>
        <w:t>3-7</w:t>
      </w:r>
      <w:r w:rsidR="000E1A7B">
        <w:rPr>
          <w:rFonts w:ascii="Garamond" w:hAnsi="Garamond"/>
          <w:sz w:val="24"/>
        </w:rPr>
        <w:t>: Disney Brand Mantra</w:t>
      </w:r>
    </w:p>
    <w:p w:rsidR="008C2E2A" w:rsidRDefault="008C2E2A" w:rsidP="00A20EF7">
      <w:pPr>
        <w:pStyle w:val="Heading1"/>
        <w:rPr>
          <w:rFonts w:ascii="Garamond" w:hAnsi="Garamond"/>
        </w:rPr>
      </w:pPr>
    </w:p>
    <w:p w:rsidR="00A20EF7" w:rsidRPr="00A20EF7" w:rsidRDefault="00A20EF7" w:rsidP="00A20EF7">
      <w:pPr>
        <w:pStyle w:val="Heading1"/>
        <w:rPr>
          <w:rFonts w:ascii="Garamond" w:hAnsi="Garamond"/>
        </w:rPr>
      </w:pPr>
      <w:r w:rsidRPr="00A20EF7">
        <w:rPr>
          <w:rFonts w:ascii="Garamond" w:hAnsi="Garamond"/>
        </w:rPr>
        <w:t>Additional Branding Briefs:</w:t>
      </w:r>
    </w:p>
    <w:p w:rsidR="008C2E2A" w:rsidRDefault="008C2E2A" w:rsidP="00A20EF7">
      <w:pPr>
        <w:rPr>
          <w:rFonts w:ascii="Garamond" w:hAnsi="Garamond"/>
          <w:sz w:val="24"/>
        </w:rPr>
      </w:pPr>
    </w:p>
    <w:p w:rsidR="00A20EF7" w:rsidRPr="00A20EF7" w:rsidRDefault="00A20EF7" w:rsidP="00A20EF7">
      <w:pPr>
        <w:rPr>
          <w:rFonts w:ascii="Garamond" w:hAnsi="Garamond"/>
          <w:sz w:val="24"/>
        </w:rPr>
      </w:pPr>
      <w:r w:rsidRPr="00A20EF7">
        <w:rPr>
          <w:rFonts w:ascii="Garamond" w:hAnsi="Garamond"/>
          <w:sz w:val="24"/>
        </w:rPr>
        <w:t>3-8: What Makes a Brand Different?</w:t>
      </w:r>
    </w:p>
    <w:p w:rsidR="00A20EF7" w:rsidRDefault="00A20EF7" w:rsidP="00A20EF7">
      <w:pPr>
        <w:tabs>
          <w:tab w:val="left" w:pos="360"/>
        </w:tabs>
        <w:rPr>
          <w:rFonts w:ascii="Garamond" w:hAnsi="Garamond"/>
          <w:sz w:val="24"/>
        </w:rPr>
      </w:pPr>
      <w:r w:rsidRPr="00A20EF7">
        <w:rPr>
          <w:rFonts w:ascii="Garamond" w:hAnsi="Garamond"/>
          <w:sz w:val="24"/>
        </w:rPr>
        <w:t>3-9: Bingo! We Have a Brand</w:t>
      </w:r>
      <w:r>
        <w:rPr>
          <w:rFonts w:ascii="Garamond" w:hAnsi="Garamond"/>
          <w:sz w:val="24"/>
        </w:rPr>
        <w:t xml:space="preserve"> </w:t>
      </w:r>
    </w:p>
    <w:p w:rsidR="00023249" w:rsidRDefault="00023249">
      <w:pPr>
        <w:pStyle w:val="Heading1"/>
        <w:rPr>
          <w:rFonts w:ascii="Garamond" w:hAnsi="Garamond"/>
          <w:b/>
        </w:rPr>
      </w:pPr>
    </w:p>
    <w:p w:rsidR="000E1A7B" w:rsidRDefault="000E1A7B">
      <w:pPr>
        <w:pStyle w:val="Heading1"/>
        <w:rPr>
          <w:rFonts w:ascii="Garamond" w:hAnsi="Garamond"/>
          <w:b/>
        </w:rPr>
      </w:pPr>
      <w:r>
        <w:rPr>
          <w:rFonts w:ascii="Garamond" w:hAnsi="Garamond"/>
          <w:b/>
        </w:rPr>
        <w:t>Key take-away points</w:t>
      </w:r>
    </w:p>
    <w:p w:rsidR="008C2E2A" w:rsidRPr="008C2E2A" w:rsidRDefault="008C2E2A" w:rsidP="008C2E2A"/>
    <w:p w:rsidR="000E1A7B" w:rsidRDefault="000E1A7B">
      <w:pPr>
        <w:tabs>
          <w:tab w:val="left" w:pos="360"/>
        </w:tabs>
        <w:spacing w:before="120"/>
        <w:ind w:left="360" w:hanging="360"/>
        <w:rPr>
          <w:rFonts w:ascii="Garamond" w:hAnsi="Garamond"/>
          <w:sz w:val="24"/>
        </w:rPr>
      </w:pPr>
      <w:r>
        <w:rPr>
          <w:rFonts w:ascii="Garamond" w:hAnsi="Garamond"/>
          <w:sz w:val="24"/>
        </w:rPr>
        <w:t>1.</w:t>
      </w:r>
      <w:r>
        <w:rPr>
          <w:rFonts w:ascii="Garamond" w:hAnsi="Garamond"/>
          <w:sz w:val="24"/>
        </w:rPr>
        <w:tab/>
        <w:t xml:space="preserve">Through the selection of a positioning strategy, marketers can influence the knowledge structures consumers have for a brand. </w:t>
      </w:r>
    </w:p>
    <w:p w:rsidR="000E1A7B" w:rsidRDefault="000E1A7B">
      <w:pPr>
        <w:tabs>
          <w:tab w:val="left" w:pos="360"/>
        </w:tabs>
        <w:spacing w:before="120"/>
        <w:ind w:left="360" w:hanging="360"/>
        <w:rPr>
          <w:rFonts w:ascii="Garamond" w:hAnsi="Garamond"/>
          <w:sz w:val="24"/>
        </w:rPr>
      </w:pPr>
      <w:r>
        <w:rPr>
          <w:rFonts w:ascii="Garamond" w:hAnsi="Garamond"/>
          <w:sz w:val="24"/>
        </w:rPr>
        <w:t>2.</w:t>
      </w:r>
      <w:r>
        <w:rPr>
          <w:rFonts w:ascii="Garamond" w:hAnsi="Garamond"/>
          <w:sz w:val="24"/>
        </w:rPr>
        <w:tab/>
        <w:t>Positioning a brand involves choice of a target market, a competitive arena, and the sets of features and associations in which a brand is going to be similar to and different from its rivals.</w:t>
      </w:r>
    </w:p>
    <w:p w:rsidR="000E1A7B" w:rsidRDefault="000E1A7B">
      <w:pPr>
        <w:tabs>
          <w:tab w:val="left" w:pos="360"/>
        </w:tabs>
        <w:spacing w:before="120"/>
        <w:ind w:left="360" w:hanging="360"/>
        <w:rPr>
          <w:rFonts w:ascii="Garamond" w:hAnsi="Garamond"/>
          <w:sz w:val="24"/>
        </w:rPr>
      </w:pPr>
      <w:r>
        <w:rPr>
          <w:rFonts w:ascii="Garamond" w:hAnsi="Garamond"/>
          <w:sz w:val="24"/>
        </w:rPr>
        <w:t>3.</w:t>
      </w:r>
      <w:r>
        <w:rPr>
          <w:rFonts w:ascii="Garamond" w:hAnsi="Garamond"/>
          <w:sz w:val="24"/>
        </w:rPr>
        <w:tab/>
        <w:t>Points-of-parity and points-of-difference are important means by which brands can e</w:t>
      </w:r>
      <w:r w:rsidR="00023249">
        <w:rPr>
          <w:rFonts w:ascii="Garamond" w:hAnsi="Garamond"/>
          <w:sz w:val="24"/>
        </w:rPr>
        <w:t>stablish unique positioning</w:t>
      </w:r>
      <w:r>
        <w:rPr>
          <w:rFonts w:ascii="Garamond" w:hAnsi="Garamond"/>
          <w:sz w:val="24"/>
        </w:rPr>
        <w:t xml:space="preserve">. </w:t>
      </w:r>
    </w:p>
    <w:p w:rsidR="000E1A7B" w:rsidRDefault="000E1A7B">
      <w:pPr>
        <w:numPr>
          <w:ilvl w:val="0"/>
          <w:numId w:val="7"/>
        </w:numPr>
        <w:spacing w:before="120"/>
        <w:rPr>
          <w:rFonts w:ascii="Garamond" w:hAnsi="Garamond"/>
          <w:sz w:val="24"/>
        </w:rPr>
      </w:pPr>
      <w:r>
        <w:rPr>
          <w:rFonts w:ascii="Garamond" w:hAnsi="Garamond"/>
          <w:sz w:val="24"/>
        </w:rPr>
        <w:t xml:space="preserve">Internal branding strategies can be as important and effective as external branding efforts. </w:t>
      </w:r>
    </w:p>
    <w:p w:rsidR="000E1A7B" w:rsidRDefault="000E1A7B">
      <w:pPr>
        <w:tabs>
          <w:tab w:val="left" w:pos="360"/>
        </w:tabs>
        <w:rPr>
          <w:rFonts w:ascii="Garamond" w:hAnsi="Garamond"/>
          <w:sz w:val="24"/>
        </w:rPr>
      </w:pPr>
      <w:r>
        <w:rPr>
          <w:rFonts w:ascii="Garamond" w:hAnsi="Garamond"/>
          <w:sz w:val="24"/>
        </w:rPr>
        <w:br w:type="page"/>
      </w:r>
    </w:p>
    <w:p w:rsidR="000E1A7B" w:rsidRDefault="007D19C6">
      <w:pPr>
        <w:spacing w:line="240" w:lineRule="atLeast"/>
        <w:jc w:val="center"/>
        <w:rPr>
          <w:rFonts w:ascii="Garamond" w:hAnsi="Garamond"/>
          <w:b/>
          <w:i/>
          <w:caps/>
          <w:sz w:val="24"/>
        </w:rPr>
      </w:pPr>
      <w:r>
        <w:rPr>
          <w:rFonts w:ascii="Garamond" w:hAnsi="Garamond"/>
          <w:b/>
          <w:i/>
          <w:caps/>
          <w:sz w:val="24"/>
        </w:rPr>
        <w:t>Branding Brief 3-8</w:t>
      </w:r>
    </w:p>
    <w:p w:rsidR="000E1A7B" w:rsidRDefault="000E1A7B">
      <w:pPr>
        <w:spacing w:line="240" w:lineRule="atLeast"/>
        <w:jc w:val="center"/>
        <w:rPr>
          <w:rFonts w:ascii="Garamond" w:hAnsi="Garamond"/>
          <w:b/>
          <w:i/>
          <w:caps/>
          <w:sz w:val="24"/>
        </w:rPr>
      </w:pPr>
      <w:r>
        <w:rPr>
          <w:rFonts w:ascii="Garamond" w:hAnsi="Garamond"/>
          <w:b/>
          <w:i/>
          <w:caps/>
          <w:sz w:val="24"/>
        </w:rPr>
        <w:t>What Makes a Brand Different?</w:t>
      </w:r>
    </w:p>
    <w:p w:rsidR="000E1A7B" w:rsidRDefault="000E1A7B">
      <w:pPr>
        <w:spacing w:line="240" w:lineRule="atLeast"/>
        <w:jc w:val="center"/>
        <w:rPr>
          <w:rFonts w:ascii="Garamond" w:hAnsi="Garamond"/>
          <w:sz w:val="24"/>
        </w:rPr>
      </w:pPr>
    </w:p>
    <w:p w:rsidR="000E1A7B" w:rsidRDefault="000E1A7B">
      <w:pPr>
        <w:spacing w:line="360" w:lineRule="atLeast"/>
        <w:rPr>
          <w:rFonts w:ascii="Garamond" w:hAnsi="Garamond"/>
          <w:sz w:val="24"/>
        </w:rPr>
      </w:pPr>
    </w:p>
    <w:p w:rsidR="000E1A7B" w:rsidRDefault="000E1A7B">
      <w:pPr>
        <w:spacing w:line="360" w:lineRule="atLeast"/>
        <w:rPr>
          <w:rFonts w:ascii="Garamond" w:hAnsi="Garamond"/>
          <w:sz w:val="24"/>
        </w:rPr>
      </w:pPr>
    </w:p>
    <w:p w:rsidR="000E1A7B" w:rsidRDefault="000E1A7B">
      <w:pPr>
        <w:spacing w:line="240" w:lineRule="atLeast"/>
        <w:rPr>
          <w:rFonts w:ascii="Garamond" w:hAnsi="Garamond"/>
          <w:sz w:val="24"/>
        </w:rPr>
      </w:pPr>
      <w:r>
        <w:rPr>
          <w:rFonts w:ascii="Garamond" w:hAnsi="Garamond"/>
          <w:sz w:val="24"/>
        </w:rPr>
        <w:t xml:space="preserve">A recently reported study examined the factors that discriminate between a </w:t>
      </w:r>
      <w:proofErr w:type="gramStart"/>
      <w:r>
        <w:rPr>
          <w:rFonts w:ascii="Garamond" w:hAnsi="Garamond"/>
          <w:sz w:val="24"/>
        </w:rPr>
        <w:t>number</w:t>
      </w:r>
      <w:proofErr w:type="gramEnd"/>
      <w:r>
        <w:rPr>
          <w:rFonts w:ascii="Garamond" w:hAnsi="Garamond"/>
          <w:sz w:val="24"/>
        </w:rPr>
        <w:t xml:space="preserve"> of top brands.</w:t>
      </w:r>
      <w:r>
        <w:rPr>
          <w:rStyle w:val="FootnoteReference"/>
          <w:rFonts w:ascii="Garamond" w:hAnsi="Garamond"/>
          <w:sz w:val="24"/>
        </w:rPr>
        <w:footnoteReference w:id="1"/>
      </w:r>
      <w:r>
        <w:rPr>
          <w:rFonts w:ascii="Garamond" w:hAnsi="Garamond"/>
          <w:sz w:val="24"/>
        </w:rPr>
        <w:t xml:space="preserve">  Specifically, category users were surveyed concerning their brand perceptions in the following product categories: </w:t>
      </w:r>
    </w:p>
    <w:p w:rsidR="008C2E2A" w:rsidRDefault="008C2E2A">
      <w:pPr>
        <w:spacing w:line="240" w:lineRule="atLeast"/>
        <w:rPr>
          <w:rFonts w:ascii="Garamond" w:hAnsi="Garamond"/>
          <w:sz w:val="24"/>
        </w:rPr>
      </w:pPr>
    </w:p>
    <w:p w:rsidR="000E1A7B" w:rsidRDefault="000E1A7B">
      <w:pPr>
        <w:spacing w:before="120" w:line="240" w:lineRule="atLeast"/>
        <w:rPr>
          <w:rFonts w:ascii="Garamond" w:hAnsi="Garamond"/>
          <w:sz w:val="24"/>
        </w:rPr>
      </w:pPr>
      <w:r>
        <w:rPr>
          <w:rFonts w:ascii="Garamond" w:hAnsi="Garamond"/>
          <w:sz w:val="24"/>
        </w:rPr>
        <w:tab/>
        <w:t>1)</w:t>
      </w:r>
      <w:r>
        <w:rPr>
          <w:rFonts w:ascii="Garamond" w:hAnsi="Garamond"/>
          <w:sz w:val="24"/>
        </w:rPr>
        <w:tab/>
        <w:t xml:space="preserve">Airlines (American, Continental, and United) </w:t>
      </w:r>
    </w:p>
    <w:p w:rsidR="000E1A7B" w:rsidRDefault="000E1A7B">
      <w:pPr>
        <w:spacing w:before="120" w:line="240" w:lineRule="atLeast"/>
        <w:rPr>
          <w:rFonts w:ascii="Garamond" w:hAnsi="Garamond"/>
          <w:sz w:val="24"/>
        </w:rPr>
      </w:pPr>
      <w:r>
        <w:rPr>
          <w:rFonts w:ascii="Garamond" w:hAnsi="Garamond"/>
          <w:sz w:val="24"/>
        </w:rPr>
        <w:tab/>
        <w:t>2)</w:t>
      </w:r>
      <w:r>
        <w:rPr>
          <w:rFonts w:ascii="Garamond" w:hAnsi="Garamond"/>
          <w:sz w:val="24"/>
        </w:rPr>
        <w:tab/>
        <w:t xml:space="preserve">Beer (Budweiser, Coors, and Miller) </w:t>
      </w:r>
    </w:p>
    <w:p w:rsidR="000E1A7B" w:rsidRDefault="000E1A7B">
      <w:pPr>
        <w:spacing w:before="120" w:line="240" w:lineRule="atLeast"/>
        <w:rPr>
          <w:rFonts w:ascii="Garamond" w:hAnsi="Garamond"/>
          <w:sz w:val="24"/>
        </w:rPr>
      </w:pPr>
      <w:r>
        <w:rPr>
          <w:rFonts w:ascii="Garamond" w:hAnsi="Garamond"/>
          <w:sz w:val="24"/>
        </w:rPr>
        <w:tab/>
        <w:t>3)</w:t>
      </w:r>
      <w:r>
        <w:rPr>
          <w:rFonts w:ascii="Garamond" w:hAnsi="Garamond"/>
          <w:sz w:val="24"/>
        </w:rPr>
        <w:tab/>
        <w:t xml:space="preserve">Coffee (Folgers, Maxwell House, and Nestle) </w:t>
      </w:r>
    </w:p>
    <w:p w:rsidR="000E1A7B" w:rsidRDefault="000E1A7B">
      <w:pPr>
        <w:spacing w:before="120" w:line="240" w:lineRule="atLeast"/>
        <w:rPr>
          <w:rFonts w:ascii="Garamond" w:hAnsi="Garamond"/>
          <w:sz w:val="24"/>
        </w:rPr>
      </w:pPr>
      <w:r>
        <w:rPr>
          <w:rFonts w:ascii="Garamond" w:hAnsi="Garamond"/>
          <w:sz w:val="24"/>
        </w:rPr>
        <w:tab/>
        <w:t>4)</w:t>
      </w:r>
      <w:r>
        <w:rPr>
          <w:rFonts w:ascii="Garamond" w:hAnsi="Garamond"/>
          <w:sz w:val="24"/>
        </w:rPr>
        <w:tab/>
        <w:t xml:space="preserve">Fast Food (Burger King, McDonald's, and Wendy's) </w:t>
      </w:r>
    </w:p>
    <w:p w:rsidR="000E1A7B" w:rsidRDefault="000E1A7B">
      <w:pPr>
        <w:spacing w:before="120" w:line="240" w:lineRule="atLeast"/>
        <w:rPr>
          <w:rFonts w:ascii="Garamond" w:hAnsi="Garamond"/>
          <w:sz w:val="24"/>
        </w:rPr>
      </w:pPr>
      <w:r>
        <w:rPr>
          <w:rFonts w:ascii="Garamond" w:hAnsi="Garamond"/>
          <w:sz w:val="24"/>
        </w:rPr>
        <w:tab/>
        <w:t>5)</w:t>
      </w:r>
      <w:r>
        <w:rPr>
          <w:rFonts w:ascii="Garamond" w:hAnsi="Garamond"/>
          <w:sz w:val="24"/>
        </w:rPr>
        <w:tab/>
        <w:t>Hotels (Hilton, Holiday Inn, and Marriott)</w:t>
      </w:r>
    </w:p>
    <w:p w:rsidR="000E1A7B" w:rsidRDefault="000E1A7B">
      <w:pPr>
        <w:spacing w:before="120" w:line="240" w:lineRule="atLeast"/>
        <w:rPr>
          <w:rFonts w:ascii="Garamond" w:hAnsi="Garamond"/>
          <w:sz w:val="24"/>
        </w:rPr>
      </w:pPr>
      <w:r>
        <w:rPr>
          <w:rFonts w:ascii="Garamond" w:hAnsi="Garamond"/>
          <w:sz w:val="24"/>
        </w:rPr>
        <w:tab/>
        <w:t>6)</w:t>
      </w:r>
      <w:r>
        <w:rPr>
          <w:rFonts w:ascii="Garamond" w:hAnsi="Garamond"/>
          <w:sz w:val="24"/>
        </w:rPr>
        <w:tab/>
        <w:t>Long Distance Telephone (AT&amp;T, MCI, and Sprint)</w:t>
      </w:r>
    </w:p>
    <w:p w:rsidR="000E1A7B" w:rsidRDefault="000E1A7B">
      <w:pPr>
        <w:spacing w:before="120" w:after="120" w:line="240" w:lineRule="atLeast"/>
        <w:rPr>
          <w:rFonts w:ascii="Garamond" w:hAnsi="Garamond"/>
          <w:sz w:val="24"/>
        </w:rPr>
      </w:pPr>
      <w:r>
        <w:rPr>
          <w:rFonts w:ascii="Garamond" w:hAnsi="Garamond"/>
          <w:sz w:val="24"/>
        </w:rPr>
        <w:tab/>
        <w:t>7)</w:t>
      </w:r>
      <w:r>
        <w:rPr>
          <w:rFonts w:ascii="Garamond" w:hAnsi="Garamond"/>
          <w:sz w:val="24"/>
        </w:rPr>
        <w:tab/>
        <w:t xml:space="preserve">Soup (Campbell's, Lipton, and Progresso)  </w:t>
      </w:r>
    </w:p>
    <w:p w:rsidR="000E1A7B" w:rsidRDefault="000E1A7B">
      <w:pPr>
        <w:spacing w:before="120" w:line="240" w:lineRule="atLeast"/>
        <w:rPr>
          <w:rFonts w:ascii="Garamond" w:hAnsi="Garamond"/>
          <w:sz w:val="24"/>
        </w:rPr>
      </w:pPr>
      <w:r>
        <w:rPr>
          <w:rFonts w:ascii="Garamond" w:hAnsi="Garamond"/>
          <w:sz w:val="24"/>
        </w:rPr>
        <w:t xml:space="preserve">Study respondents rated the brands on a number of functional, economic, psychological, social, and cultural factors. The results were analyzed with some advanced multivariate techniques to yield a perceptual space. Several observations are relevant. First, brand type can be more important than category to the positioning of a brand. Thus, </w:t>
      </w:r>
      <w:smartTag w:uri="urn:schemas-microsoft-com:office:smarttags" w:element="place">
        <w:smartTag w:uri="urn:schemas-microsoft-com:office:smarttags" w:element="City">
          <w:r>
            <w:rPr>
              <w:rFonts w:ascii="Garamond" w:hAnsi="Garamond"/>
              <w:sz w:val="24"/>
            </w:rPr>
            <w:t>Campbell</w:t>
          </w:r>
        </w:smartTag>
      </w:smartTag>
      <w:r>
        <w:rPr>
          <w:rFonts w:ascii="Garamond" w:hAnsi="Garamond"/>
          <w:sz w:val="24"/>
        </w:rPr>
        <w:t xml:space="preserve">'s soup may have as much in common in many ways with Maxwell House coffee as with Lipton or Progresso soup. Second, within a category, there was a brand hierarchy in terms of the five factors that subjects rated. The functional and economic dimensions were the ones found to be most desirable; however, the dimensions most closely associated with brand choice dealt with the cultural, social, and psychological factors. </w:t>
      </w:r>
    </w:p>
    <w:p w:rsidR="000E1A7B" w:rsidRDefault="000E1A7B">
      <w:pPr>
        <w:spacing w:line="240" w:lineRule="atLeast"/>
        <w:rPr>
          <w:rFonts w:ascii="Garamond" w:hAnsi="Garamond"/>
          <w:sz w:val="24"/>
        </w:rPr>
      </w:pPr>
    </w:p>
    <w:p w:rsidR="000E1A7B" w:rsidRDefault="000E1A7B">
      <w:pPr>
        <w:rPr>
          <w:rFonts w:ascii="Garamond" w:hAnsi="Garamond"/>
          <w:sz w:val="24"/>
        </w:rPr>
      </w:pPr>
      <w:r>
        <w:rPr>
          <w:rFonts w:ascii="Garamond" w:hAnsi="Garamond"/>
          <w:sz w:val="24"/>
        </w:rPr>
        <w:t>The researchers who conducted the study interpreted these findings as indication that an “equity hierarchy” existed with the stated economic and functional dimensions as a "cost of entry" base and the derived cultural, social, and psychological dimensions as the key brand choice differentiators. In other words, the study findings could be interpreted in terms of the positioning concepts presented here as stating that economic and functional characteristics are often points-of-parity associations and cultural, social, and psychological factors are often points-of-difference associations, at least as far as these generally mature, well-known brands go.</w:t>
      </w:r>
    </w:p>
    <w:p w:rsidR="000E1A7B" w:rsidRDefault="000E1A7B">
      <w:pPr>
        <w:jc w:val="center"/>
        <w:rPr>
          <w:rFonts w:ascii="Garamond" w:hAnsi="Garamond"/>
          <w:b/>
          <w:i/>
          <w:caps/>
          <w:sz w:val="24"/>
        </w:rPr>
      </w:pPr>
      <w:r>
        <w:rPr>
          <w:rFonts w:ascii="Garamond" w:hAnsi="Garamond"/>
          <w:sz w:val="24"/>
        </w:rPr>
        <w:br w:type="page"/>
      </w:r>
      <w:r w:rsidR="007D19C6">
        <w:rPr>
          <w:rFonts w:ascii="Garamond" w:hAnsi="Garamond"/>
          <w:b/>
          <w:i/>
          <w:caps/>
          <w:sz w:val="24"/>
        </w:rPr>
        <w:lastRenderedPageBreak/>
        <w:t>Branding Brief 3-9</w:t>
      </w:r>
    </w:p>
    <w:p w:rsidR="000E1A7B" w:rsidRDefault="000E1A7B">
      <w:pPr>
        <w:jc w:val="center"/>
        <w:rPr>
          <w:rFonts w:ascii="Garamond" w:hAnsi="Garamond"/>
          <w:sz w:val="24"/>
        </w:rPr>
      </w:pPr>
      <w:r>
        <w:rPr>
          <w:rFonts w:ascii="Garamond" w:hAnsi="Garamond"/>
          <w:b/>
          <w:i/>
          <w:caps/>
          <w:sz w:val="24"/>
        </w:rPr>
        <w:t>Bingo! we have a brand</w:t>
      </w:r>
      <w:r>
        <w:rPr>
          <w:rStyle w:val="FootnoteReference"/>
          <w:rFonts w:ascii="Garamond" w:hAnsi="Garamond"/>
          <w:sz w:val="24"/>
        </w:rPr>
        <w:footnoteReference w:id="2"/>
      </w:r>
    </w:p>
    <w:p w:rsidR="000E1A7B" w:rsidRDefault="000E1A7B">
      <w:pPr>
        <w:rPr>
          <w:rFonts w:ascii="Garamond" w:hAnsi="Garamond"/>
          <w:sz w:val="24"/>
        </w:rPr>
      </w:pPr>
    </w:p>
    <w:p w:rsidR="000E1A7B" w:rsidRDefault="000E1A7B">
      <w:pPr>
        <w:rPr>
          <w:rFonts w:ascii="Garamond" w:hAnsi="Garamond"/>
          <w:sz w:val="24"/>
        </w:rPr>
      </w:pPr>
    </w:p>
    <w:p w:rsidR="000E1A7B" w:rsidRDefault="000E1A7B">
      <w:pPr>
        <w:rPr>
          <w:rFonts w:ascii="Garamond" w:hAnsi="Garamond"/>
          <w:sz w:val="24"/>
        </w:rPr>
      </w:pPr>
      <w:r>
        <w:rPr>
          <w:rFonts w:ascii="Garamond" w:hAnsi="Garamond"/>
          <w:sz w:val="24"/>
        </w:rPr>
        <w:t xml:space="preserve">Gala Clubs, the largest bingo operator in the </w:t>
      </w:r>
      <w:smartTag w:uri="urn:schemas-microsoft-com:office:smarttags" w:element="place">
        <w:smartTag w:uri="urn:schemas-microsoft-com:office:smarttags" w:element="country-region">
          <w:r>
            <w:rPr>
              <w:rFonts w:ascii="Garamond" w:hAnsi="Garamond"/>
              <w:sz w:val="24"/>
            </w:rPr>
            <w:t>UK</w:t>
          </w:r>
        </w:smartTag>
      </w:smartTag>
      <w:r>
        <w:rPr>
          <w:rFonts w:ascii="Garamond" w:hAnsi="Garamond"/>
          <w:sz w:val="24"/>
        </w:rPr>
        <w:t xml:space="preserve"> with roughly 40 percent of the market, employs 6,700 employees who mostly work part-time. In 2000, Gala initiated an internal branding program called “The Gala Difference” which was intended to create a strong customer service commitment among employees. The Gala Difference cultivates the relationship between employee and customer by making highly personalized service a priority. The company encourages its employees to establish first-name relationships with customers. </w:t>
      </w:r>
    </w:p>
    <w:p w:rsidR="000E1A7B" w:rsidRDefault="000E1A7B">
      <w:pPr>
        <w:rPr>
          <w:rFonts w:ascii="Garamond" w:hAnsi="Garamond"/>
          <w:sz w:val="24"/>
        </w:rPr>
      </w:pPr>
    </w:p>
    <w:p w:rsidR="000E1A7B" w:rsidRDefault="000E1A7B">
      <w:pPr>
        <w:rPr>
          <w:rFonts w:ascii="Garamond" w:hAnsi="Garamond"/>
          <w:sz w:val="24"/>
        </w:rPr>
      </w:pPr>
      <w:r>
        <w:rPr>
          <w:rFonts w:ascii="Garamond" w:hAnsi="Garamond"/>
          <w:sz w:val="24"/>
        </w:rPr>
        <w:t>Gala conducted extensive internal research to explore the attitudes of its employees toward the brand and the customers. The company distributed a survey to determine whether Gala employees were aware of what the brand represented and whether they considered themselves to be living the brand. More in-depth interviews and focus groups followed. The results of the research led to the following recommendations for Gala:</w:t>
      </w:r>
    </w:p>
    <w:p w:rsidR="000E1A7B" w:rsidRDefault="000E1A7B">
      <w:pPr>
        <w:numPr>
          <w:ilvl w:val="0"/>
          <w:numId w:val="8"/>
        </w:numPr>
        <w:rPr>
          <w:rFonts w:ascii="Garamond" w:hAnsi="Garamond"/>
          <w:sz w:val="24"/>
        </w:rPr>
      </w:pPr>
      <w:r>
        <w:rPr>
          <w:rFonts w:ascii="Garamond" w:hAnsi="Garamond"/>
          <w:sz w:val="24"/>
        </w:rPr>
        <w:t>Re-inspire people around the brand and the role Gala had in changing perceptions of bingo</w:t>
      </w:r>
    </w:p>
    <w:p w:rsidR="000E1A7B" w:rsidRDefault="000E1A7B">
      <w:pPr>
        <w:numPr>
          <w:ilvl w:val="0"/>
          <w:numId w:val="8"/>
        </w:numPr>
        <w:rPr>
          <w:rFonts w:ascii="Garamond" w:hAnsi="Garamond"/>
          <w:sz w:val="24"/>
        </w:rPr>
      </w:pPr>
      <w:r>
        <w:rPr>
          <w:rFonts w:ascii="Garamond" w:hAnsi="Garamond"/>
          <w:sz w:val="24"/>
        </w:rPr>
        <w:t>Work with club managers to create local business plans focusing on communications, business objectives, people management and service excellence</w:t>
      </w:r>
    </w:p>
    <w:p w:rsidR="000E1A7B" w:rsidRDefault="000E1A7B">
      <w:pPr>
        <w:numPr>
          <w:ilvl w:val="0"/>
          <w:numId w:val="8"/>
        </w:numPr>
        <w:rPr>
          <w:rFonts w:ascii="Garamond" w:hAnsi="Garamond"/>
          <w:sz w:val="24"/>
        </w:rPr>
      </w:pPr>
      <w:r>
        <w:rPr>
          <w:rFonts w:ascii="Garamond" w:hAnsi="Garamond"/>
          <w:sz w:val="24"/>
        </w:rPr>
        <w:t>Create a continual learning experience for staff to raise awareness of customer service</w:t>
      </w:r>
    </w:p>
    <w:p w:rsidR="000E1A7B" w:rsidRDefault="000E1A7B">
      <w:pPr>
        <w:rPr>
          <w:rFonts w:ascii="Garamond" w:hAnsi="Garamond"/>
          <w:sz w:val="24"/>
        </w:rPr>
      </w:pPr>
      <w:r>
        <w:rPr>
          <w:rFonts w:ascii="Garamond" w:hAnsi="Garamond"/>
          <w:sz w:val="24"/>
        </w:rPr>
        <w:t>To inform its employees of the Gala Difference program, the company’s sales and</w:t>
      </w:r>
    </w:p>
    <w:p w:rsidR="000E1A7B" w:rsidRDefault="000E1A7B">
      <w:pPr>
        <w:rPr>
          <w:rFonts w:ascii="Garamond" w:hAnsi="Garamond"/>
          <w:sz w:val="24"/>
        </w:rPr>
      </w:pPr>
      <w:proofErr w:type="gramStart"/>
      <w:r>
        <w:rPr>
          <w:rFonts w:ascii="Garamond" w:hAnsi="Garamond"/>
          <w:sz w:val="24"/>
        </w:rPr>
        <w:t>marketing</w:t>
      </w:r>
      <w:proofErr w:type="gramEnd"/>
      <w:r>
        <w:rPr>
          <w:rFonts w:ascii="Garamond" w:hAnsi="Garamond"/>
          <w:sz w:val="24"/>
        </w:rPr>
        <w:t xml:space="preserve"> director sent a letter to each employee that explained the program and emphasized that “internal change is not brought about just by TV campaigns and marketing slogans, but by what employees deliver.”  A booklet that contained the results of the survey was also distributed to employees in order to give them insights as to how their co-workers felt about the brand and to foster a sense of community. Additionally, Gala produced a video that described best practices for bingo and demonstrated what exceptional customer service entailed. Finally, the company set up “make a difference” training sessions at each club where general managers shared best practices and sought out “pockets of excellence” in each club. </w:t>
      </w:r>
    </w:p>
    <w:p w:rsidR="000E1A7B" w:rsidRDefault="000E1A7B">
      <w:pPr>
        <w:rPr>
          <w:rFonts w:ascii="Garamond" w:hAnsi="Garamond"/>
          <w:sz w:val="24"/>
        </w:rPr>
      </w:pPr>
    </w:p>
    <w:p w:rsidR="000E1A7B" w:rsidRDefault="000E1A7B">
      <w:pPr>
        <w:rPr>
          <w:rFonts w:ascii="Garamond" w:hAnsi="Garamond"/>
          <w:sz w:val="24"/>
        </w:rPr>
      </w:pPr>
      <w:r>
        <w:rPr>
          <w:rFonts w:ascii="Garamond" w:hAnsi="Garamond"/>
          <w:sz w:val="24"/>
        </w:rPr>
        <w:t xml:space="preserve">Gala anticipated the Gala Difference would have a positive effect on the company’s bottom line. When the employees live the brand, Gala reasoned, they would bring about greater customer satisfaction. This would lead to increased admissions through repeat visits and word-of-mouth referrals, which in turn would generate increased profitability. In 2000, admissions rose 15 percent from 1999, while operating profits increased by 38 percent to $54 million. </w:t>
      </w:r>
    </w:p>
    <w:p w:rsidR="000E1A7B" w:rsidRDefault="000E1A7B">
      <w:pPr>
        <w:rPr>
          <w:rFonts w:ascii="Garamond" w:hAnsi="Garamond"/>
          <w:sz w:val="24"/>
        </w:rPr>
      </w:pPr>
    </w:p>
    <w:p w:rsidR="000E1A7B" w:rsidRDefault="000E1A7B">
      <w:pPr>
        <w:tabs>
          <w:tab w:val="left" w:pos="360"/>
        </w:tabs>
        <w:rPr>
          <w:rFonts w:ascii="Garamond" w:hAnsi="Garamond"/>
          <w:sz w:val="24"/>
        </w:rPr>
      </w:pPr>
    </w:p>
    <w:p w:rsidR="000E1A7B" w:rsidRDefault="000E1A7B">
      <w:pPr>
        <w:tabs>
          <w:tab w:val="left" w:pos="360"/>
        </w:tabs>
        <w:rPr>
          <w:rFonts w:ascii="Times New Roman" w:hAnsi="Times New Roman"/>
          <w:sz w:val="24"/>
        </w:rPr>
      </w:pPr>
    </w:p>
    <w:sectPr w:rsidR="000E1A7B" w:rsidSect="00373737">
      <w:headerReference w:type="even" r:id="rId8"/>
      <w:headerReference w:type="default" r:id="rId9"/>
      <w:footerReference w:type="even" r:id="rId10"/>
      <w:footerReference w:type="default" r:id="rId11"/>
      <w:pgSz w:w="12240" w:h="15840"/>
      <w:pgMar w:top="1440" w:right="1800" w:bottom="1440" w:left="1800" w:header="720" w:footer="720" w:gutter="0"/>
      <w:pgNumType w:start="14"/>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3F74" w:rsidRDefault="00DA3F74">
      <w:r>
        <w:separator/>
      </w:r>
    </w:p>
  </w:endnote>
  <w:endnote w:type="continuationSeparator" w:id="0">
    <w:p w:rsidR="00DA3F74" w:rsidRDefault="00DA3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20002A87" w:usb1="80000000" w:usb2="00000008" w:usb3="00000000" w:csb0="000001FF" w:csb1="00000000"/>
  </w:font>
  <w:font w:name="Roman 10cpi">
    <w:panose1 w:val="00000000000000000000"/>
    <w:charset w:val="00"/>
    <w:family w:val="moder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7BA" w:rsidRDefault="003E77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E77BA" w:rsidRDefault="003E77B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7BA" w:rsidRDefault="003E77BA">
    <w:pPr>
      <w:pStyle w:val="Footer"/>
      <w:framePr w:wrap="around" w:vAnchor="text" w:hAnchor="margin" w:xAlign="center" w:y="1"/>
      <w:rPr>
        <w:rStyle w:val="PageNumber"/>
        <w:rFonts w:ascii="Times New Roman" w:hAnsi="Times New Roman"/>
        <w:sz w:val="24"/>
      </w:rPr>
    </w:pPr>
    <w:r>
      <w:rPr>
        <w:rStyle w:val="PageNumber"/>
        <w:rFonts w:ascii="Times New Roman" w:hAnsi="Times New Roman"/>
        <w:sz w:val="24"/>
      </w:rPr>
      <w:fldChar w:fldCharType="begin"/>
    </w:r>
    <w:r>
      <w:rPr>
        <w:rStyle w:val="PageNumber"/>
        <w:rFonts w:ascii="Times New Roman" w:hAnsi="Times New Roman"/>
        <w:sz w:val="24"/>
      </w:rPr>
      <w:instrText xml:space="preserve">PAGE  </w:instrText>
    </w:r>
    <w:r>
      <w:rPr>
        <w:rStyle w:val="PageNumber"/>
        <w:rFonts w:ascii="Times New Roman" w:hAnsi="Times New Roman"/>
        <w:sz w:val="24"/>
      </w:rPr>
      <w:fldChar w:fldCharType="separate"/>
    </w:r>
    <w:r w:rsidR="008C2E2A">
      <w:rPr>
        <w:rStyle w:val="PageNumber"/>
        <w:rFonts w:ascii="Times New Roman" w:hAnsi="Times New Roman"/>
        <w:noProof/>
        <w:sz w:val="24"/>
      </w:rPr>
      <w:t>17</w:t>
    </w:r>
    <w:r>
      <w:rPr>
        <w:rStyle w:val="PageNumber"/>
        <w:rFonts w:ascii="Times New Roman" w:hAnsi="Times New Roman"/>
        <w:sz w:val="24"/>
      </w:rPr>
      <w:fldChar w:fldCharType="end"/>
    </w:r>
  </w:p>
  <w:p w:rsidR="003E77BA" w:rsidRDefault="003E77BA">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3F74" w:rsidRDefault="00DA3F74">
      <w:r>
        <w:separator/>
      </w:r>
    </w:p>
  </w:footnote>
  <w:footnote w:type="continuationSeparator" w:id="0">
    <w:p w:rsidR="00DA3F74" w:rsidRDefault="00DA3F74">
      <w:r>
        <w:continuationSeparator/>
      </w:r>
    </w:p>
  </w:footnote>
  <w:footnote w:id="1">
    <w:p w:rsidR="003E77BA" w:rsidRDefault="003E77BA">
      <w:pPr>
        <w:pStyle w:val="endnotetext"/>
        <w:rPr>
          <w:rFonts w:ascii="Garamond" w:hAnsi="Garamond"/>
        </w:rPr>
      </w:pPr>
      <w:r>
        <w:rPr>
          <w:rStyle w:val="FootnoteReference"/>
          <w:rFonts w:ascii="Garamond" w:hAnsi="Garamond"/>
        </w:rPr>
        <w:footnoteRef/>
      </w:r>
      <w:r>
        <w:rPr>
          <w:rFonts w:ascii="Garamond" w:hAnsi="Garamond"/>
        </w:rPr>
        <w:t xml:space="preserve">James F. </w:t>
      </w:r>
      <w:proofErr w:type="spellStart"/>
      <w:r>
        <w:rPr>
          <w:rFonts w:ascii="Garamond" w:hAnsi="Garamond"/>
        </w:rPr>
        <w:t>Donius</w:t>
      </w:r>
      <w:proofErr w:type="spellEnd"/>
      <w:r>
        <w:rPr>
          <w:rFonts w:ascii="Garamond" w:hAnsi="Garamond"/>
        </w:rPr>
        <w:t>, "Brand Equity: A Holistic Perspective," ARF Brand Equity Conference, February 15-16.</w:t>
      </w:r>
    </w:p>
  </w:footnote>
  <w:footnote w:id="2">
    <w:p w:rsidR="003E77BA" w:rsidRDefault="003E77BA">
      <w:pPr>
        <w:pStyle w:val="FootnoteText"/>
      </w:pPr>
      <w:bookmarkStart w:id="0" w:name="_GoBack"/>
      <w:bookmarkEnd w:id="0"/>
      <w:r>
        <w:rPr>
          <w:rStyle w:val="FootnoteReference"/>
          <w:rFonts w:ascii="Garamond" w:hAnsi="Garamond"/>
        </w:rPr>
        <w:footnoteRef/>
      </w:r>
      <w:r>
        <w:rPr>
          <w:rFonts w:ascii="Garamond" w:hAnsi="Garamond"/>
        </w:rPr>
        <w:t xml:space="preserve"> </w:t>
      </w:r>
      <w:hyperlink r:id="rId1" w:history="1">
        <w:proofErr w:type="gramStart"/>
        <w:r>
          <w:rPr>
            <w:rStyle w:val="Hyperlink"/>
            <w:rFonts w:ascii="Garamond" w:hAnsi="Garamond"/>
          </w:rPr>
          <w:t>www.gala-bingo.co.uk</w:t>
        </w:r>
      </w:hyperlink>
      <w:r>
        <w:rPr>
          <w:rFonts w:ascii="Garamond" w:hAnsi="Garamond"/>
        </w:rPr>
        <w:t xml:space="preserve">; Luciana </w:t>
      </w:r>
      <w:proofErr w:type="spellStart"/>
      <w:r>
        <w:rPr>
          <w:rFonts w:ascii="Garamond" w:hAnsi="Garamond"/>
        </w:rPr>
        <w:t>Palmisano</w:t>
      </w:r>
      <w:proofErr w:type="spellEnd"/>
      <w:r>
        <w:rPr>
          <w:rFonts w:ascii="Garamond" w:hAnsi="Garamond"/>
        </w:rPr>
        <w:t>.</w:t>
      </w:r>
      <w:proofErr w:type="gramEnd"/>
      <w:r>
        <w:rPr>
          <w:rFonts w:ascii="Garamond" w:hAnsi="Garamond"/>
        </w:rPr>
        <w:t xml:space="preserve"> </w:t>
      </w:r>
      <w:proofErr w:type="gramStart"/>
      <w:r>
        <w:rPr>
          <w:rFonts w:ascii="Garamond" w:hAnsi="Garamond"/>
        </w:rPr>
        <w:t>“Eyes Down for a Full House.”</w:t>
      </w:r>
      <w:proofErr w:type="gramEnd"/>
      <w:r>
        <w:rPr>
          <w:rFonts w:ascii="Garamond" w:hAnsi="Garamond"/>
        </w:rPr>
        <w:t xml:space="preserve"> Brand Strategy, October 2000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7BA" w:rsidRDefault="003E77B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E77BA" w:rsidRDefault="003E77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7BA" w:rsidRDefault="003E77BA">
    <w:pPr>
      <w:pStyle w:val="Header"/>
      <w:framePr w:wrap="around" w:vAnchor="text" w:hAnchor="margin" w:xAlign="center" w:y="1"/>
      <w:rPr>
        <w:rStyle w:val="PageNumber"/>
      </w:rPr>
    </w:pPr>
  </w:p>
  <w:p w:rsidR="003E77BA" w:rsidRDefault="003E77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529EA"/>
    <w:multiLevelType w:val="singleLevel"/>
    <w:tmpl w:val="0409000F"/>
    <w:lvl w:ilvl="0">
      <w:start w:val="4"/>
      <w:numFmt w:val="decimal"/>
      <w:lvlText w:val="%1."/>
      <w:lvlJc w:val="left"/>
      <w:pPr>
        <w:tabs>
          <w:tab w:val="num" w:pos="360"/>
        </w:tabs>
        <w:ind w:left="360" w:hanging="360"/>
      </w:pPr>
      <w:rPr>
        <w:rFonts w:hint="default"/>
      </w:rPr>
    </w:lvl>
  </w:abstractNum>
  <w:abstractNum w:abstractNumId="1">
    <w:nsid w:val="135E277D"/>
    <w:multiLevelType w:val="hybridMultilevel"/>
    <w:tmpl w:val="AF1AF0D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26B368D7"/>
    <w:multiLevelType w:val="hybridMultilevel"/>
    <w:tmpl w:val="BE88100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2A1B0EE1"/>
    <w:multiLevelType w:val="multilevel"/>
    <w:tmpl w:val="0B6A26E8"/>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31302883"/>
    <w:multiLevelType w:val="hybridMultilevel"/>
    <w:tmpl w:val="188AEE3A"/>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5FE80367"/>
    <w:multiLevelType w:val="hybridMultilevel"/>
    <w:tmpl w:val="5F3AB40E"/>
    <w:lvl w:ilvl="0">
      <w:start w:val="3"/>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60ED3150"/>
    <w:multiLevelType w:val="hybridMultilevel"/>
    <w:tmpl w:val="AD2E50E4"/>
    <w:lvl w:ilvl="0">
      <w:start w:val="3"/>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7">
    <w:nsid w:val="688032B4"/>
    <w:multiLevelType w:val="hybridMultilevel"/>
    <w:tmpl w:val="3A9E3EB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5"/>
  </w:num>
  <w:num w:numId="2">
    <w:abstractNumId w:val="1"/>
  </w:num>
  <w:num w:numId="3">
    <w:abstractNumId w:val="4"/>
  </w:num>
  <w:num w:numId="4">
    <w:abstractNumId w:val="7"/>
  </w:num>
  <w:num w:numId="5">
    <w:abstractNumId w:val="6"/>
  </w:num>
  <w:num w:numId="6">
    <w:abstractNumId w:val="2"/>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445"/>
    <w:rsid w:val="00023249"/>
    <w:rsid w:val="000E1A7B"/>
    <w:rsid w:val="000E7445"/>
    <w:rsid w:val="00112777"/>
    <w:rsid w:val="003420B3"/>
    <w:rsid w:val="00373737"/>
    <w:rsid w:val="003B630D"/>
    <w:rsid w:val="003E77BA"/>
    <w:rsid w:val="006A3E1B"/>
    <w:rsid w:val="007C326E"/>
    <w:rsid w:val="007D19C6"/>
    <w:rsid w:val="00805CB7"/>
    <w:rsid w:val="00862A48"/>
    <w:rsid w:val="008C2E2A"/>
    <w:rsid w:val="009E6E68"/>
    <w:rsid w:val="00A20EF7"/>
    <w:rsid w:val="00A47E69"/>
    <w:rsid w:val="00AD6DDC"/>
    <w:rsid w:val="00C42626"/>
    <w:rsid w:val="00D77F52"/>
    <w:rsid w:val="00DA3F74"/>
    <w:rsid w:val="00DE6DAA"/>
    <w:rsid w:val="00E85A1F"/>
    <w:rsid w:val="00EB219B"/>
    <w:rsid w:val="00F934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sz w:val="24"/>
      <w:u w:val="single"/>
    </w:rPr>
  </w:style>
  <w:style w:type="paragraph" w:styleId="Heading4">
    <w:name w:val="heading 4"/>
    <w:basedOn w:val="Normal"/>
    <w:next w:val="Normal"/>
    <w:qFormat/>
    <w:pPr>
      <w:keepNext/>
      <w:tabs>
        <w:tab w:val="left" w:pos="360"/>
      </w:tabs>
      <w:outlineLvl w:val="3"/>
    </w:pPr>
    <w:rPr>
      <w:rFonts w:ascii="Times New Roman" w:hAnsi="Times New Roman"/>
      <w:b/>
      <w:sz w:val="24"/>
      <w:u w:val="single"/>
    </w:rPr>
  </w:style>
  <w:style w:type="paragraph" w:styleId="Heading5">
    <w:name w:val="heading 5"/>
    <w:basedOn w:val="Normal"/>
    <w:next w:val="Normal"/>
    <w:qFormat/>
    <w:pPr>
      <w:keepNext/>
      <w:jc w:val="center"/>
      <w:outlineLvl w:val="4"/>
    </w:pPr>
    <w:rPr>
      <w:rFonts w:ascii="Times New Roman" w:hAnsi="Times New Roman"/>
      <w:b/>
      <w:sz w:val="24"/>
    </w:rPr>
  </w:style>
  <w:style w:type="paragraph" w:styleId="Heading6">
    <w:name w:val="heading 6"/>
    <w:basedOn w:val="Normal"/>
    <w:next w:val="Normal"/>
    <w:qFormat/>
    <w:pPr>
      <w:keepNext/>
      <w:ind w:left="4320" w:firstLine="720"/>
      <w:outlineLvl w:val="5"/>
    </w:pPr>
    <w:rPr>
      <w:rFonts w:ascii="Times New Roman" w:hAnsi="Times New Roman"/>
      <w:sz w:val="24"/>
    </w:rPr>
  </w:style>
  <w:style w:type="paragraph" w:styleId="Heading7">
    <w:name w:val="heading 7"/>
    <w:basedOn w:val="Normal"/>
    <w:next w:val="Normal"/>
    <w:qFormat/>
    <w:pPr>
      <w:keepNext/>
      <w:ind w:left="1440" w:firstLine="720"/>
      <w:outlineLvl w:val="6"/>
    </w:pPr>
    <w:rPr>
      <w:rFonts w:ascii="Times New Roman" w:hAnsi="Times New Roman"/>
      <w:sz w:val="24"/>
    </w:rPr>
  </w:style>
  <w:style w:type="paragraph" w:styleId="Heading8">
    <w:name w:val="heading 8"/>
    <w:basedOn w:val="Normal"/>
    <w:next w:val="Normal"/>
    <w:qFormat/>
    <w:pPr>
      <w:keepNext/>
      <w:outlineLvl w:val="7"/>
    </w:pPr>
    <w:rPr>
      <w:rFonts w:ascii="Garamond" w:hAnsi="Garamond"/>
      <w:sz w:val="28"/>
    </w:rPr>
  </w:style>
  <w:style w:type="paragraph" w:styleId="Heading9">
    <w:name w:val="heading 9"/>
    <w:basedOn w:val="Normal"/>
    <w:next w:val="Normal"/>
    <w:qFormat/>
    <w:pPr>
      <w:keepNext/>
      <w:tabs>
        <w:tab w:val="left" w:pos="360"/>
      </w:tabs>
      <w:ind w:left="360" w:hanging="360"/>
      <w:outlineLvl w:val="8"/>
    </w:pPr>
    <w:rPr>
      <w:rFonts w:ascii="Garamond" w:hAnsi="Garamond"/>
      <w:b/>
      <w:sz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rPr>
  </w:style>
  <w:style w:type="paragraph" w:styleId="BodyTextIndent2">
    <w:name w:val="Body Text Indent 2"/>
    <w:basedOn w:val="Normal"/>
    <w:pPr>
      <w:ind w:left="720" w:firstLine="720"/>
    </w:pPr>
    <w:rPr>
      <w:rFonts w:ascii="Times New Roman" w:hAnsi="Times New Roman"/>
      <w:sz w:val="24"/>
    </w:rPr>
  </w:style>
  <w:style w:type="paragraph" w:styleId="Title">
    <w:name w:val="Title"/>
    <w:basedOn w:val="Normal"/>
    <w:qFormat/>
    <w:pPr>
      <w:jc w:val="center"/>
    </w:pPr>
    <w:rPr>
      <w:rFonts w:ascii="Times New Roman" w:hAnsi="Times New Roman"/>
      <w:b/>
      <w:sz w:val="24"/>
    </w:rPr>
  </w:style>
  <w:style w:type="paragraph" w:styleId="BodyTextIndent3">
    <w:name w:val="Body Text Indent 3"/>
    <w:basedOn w:val="Normal"/>
    <w:pPr>
      <w:ind w:left="1440" w:hanging="720"/>
    </w:pPr>
    <w:rPr>
      <w:rFonts w:ascii="Times New Roman" w:hAnsi="Times New Roman"/>
      <w:sz w:val="24"/>
    </w:rPr>
  </w:style>
  <w:style w:type="paragraph" w:styleId="BodyText">
    <w:name w:val="Body Text"/>
    <w:basedOn w:val="Normal"/>
    <w:pPr>
      <w:tabs>
        <w:tab w:val="left" w:pos="360"/>
      </w:tabs>
    </w:pPr>
    <w:rPr>
      <w:rFonts w:ascii="Times New Roman" w:hAnsi="Times New Roman"/>
      <w:sz w:val="24"/>
    </w:rPr>
  </w:style>
  <w:style w:type="paragraph" w:styleId="DocumentMap">
    <w:name w:val="Document Map"/>
    <w:basedOn w:val="Normal"/>
    <w:semiHidden/>
    <w:pPr>
      <w:shd w:val="clear" w:color="auto" w:fill="000080"/>
    </w:pPr>
    <w:rPr>
      <w:rFonts w:ascii="Tahoma" w:hAnsi="Tahoma"/>
    </w:rPr>
  </w:style>
  <w:style w:type="paragraph" w:styleId="BlockText">
    <w:name w:val="Block Text"/>
    <w:basedOn w:val="Normal"/>
    <w:pPr>
      <w:tabs>
        <w:tab w:val="left" w:pos="360"/>
      </w:tabs>
      <w:ind w:left="720" w:right="720"/>
    </w:pPr>
    <w:rPr>
      <w:rFonts w:ascii="Times New Roman" w:hAnsi="Times New Roman"/>
      <w:sz w:val="24"/>
    </w:rPr>
  </w:style>
  <w:style w:type="paragraph" w:styleId="BodyText20">
    <w:name w:val="Body Text 2"/>
    <w:basedOn w:val="Normal"/>
    <w:pPr>
      <w:tabs>
        <w:tab w:val="left" w:pos="360"/>
      </w:tabs>
      <w:ind w:left="360" w:hanging="360"/>
    </w:pPr>
    <w:rPr>
      <w:rFonts w:ascii="Times New Roman" w:hAnsi="Times New Roman"/>
      <w:sz w:val="24"/>
    </w:rPr>
  </w:style>
  <w:style w:type="paragraph" w:styleId="BodyText21">
    <w:name w:val="Body Text 2"/>
    <w:basedOn w:val="Normal"/>
    <w:pPr>
      <w:ind w:left="720"/>
    </w:pPr>
    <w:rPr>
      <w:rFonts w:ascii="Times New Roman" w:hAnsi="Times New Roman"/>
      <w:sz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sz w:val="24"/>
    </w:rPr>
  </w:style>
  <w:style w:type="paragraph" w:styleId="Footer">
    <w:name w:val="footer"/>
    <w:basedOn w:val="Normal"/>
    <w:pPr>
      <w:tabs>
        <w:tab w:val="center" w:pos="4320"/>
        <w:tab w:val="right" w:pos="8640"/>
      </w:tabs>
    </w:pPr>
  </w:style>
  <w:style w:type="paragraph" w:customStyle="1" w:styleId="endnotetext">
    <w:name w:val="endnote text"/>
    <w:basedOn w:val="Normal"/>
    <w:rPr>
      <w:rFonts w:ascii="Times New Roman" w:hAnsi="Times New Roman"/>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sz w:val="24"/>
      <w:u w:val="single"/>
    </w:rPr>
  </w:style>
  <w:style w:type="paragraph" w:styleId="Heading4">
    <w:name w:val="heading 4"/>
    <w:basedOn w:val="Normal"/>
    <w:next w:val="Normal"/>
    <w:qFormat/>
    <w:pPr>
      <w:keepNext/>
      <w:tabs>
        <w:tab w:val="left" w:pos="360"/>
      </w:tabs>
      <w:outlineLvl w:val="3"/>
    </w:pPr>
    <w:rPr>
      <w:rFonts w:ascii="Times New Roman" w:hAnsi="Times New Roman"/>
      <w:b/>
      <w:sz w:val="24"/>
      <w:u w:val="single"/>
    </w:rPr>
  </w:style>
  <w:style w:type="paragraph" w:styleId="Heading5">
    <w:name w:val="heading 5"/>
    <w:basedOn w:val="Normal"/>
    <w:next w:val="Normal"/>
    <w:qFormat/>
    <w:pPr>
      <w:keepNext/>
      <w:jc w:val="center"/>
      <w:outlineLvl w:val="4"/>
    </w:pPr>
    <w:rPr>
      <w:rFonts w:ascii="Times New Roman" w:hAnsi="Times New Roman"/>
      <w:b/>
      <w:sz w:val="24"/>
    </w:rPr>
  </w:style>
  <w:style w:type="paragraph" w:styleId="Heading6">
    <w:name w:val="heading 6"/>
    <w:basedOn w:val="Normal"/>
    <w:next w:val="Normal"/>
    <w:qFormat/>
    <w:pPr>
      <w:keepNext/>
      <w:ind w:left="4320" w:firstLine="720"/>
      <w:outlineLvl w:val="5"/>
    </w:pPr>
    <w:rPr>
      <w:rFonts w:ascii="Times New Roman" w:hAnsi="Times New Roman"/>
      <w:sz w:val="24"/>
    </w:rPr>
  </w:style>
  <w:style w:type="paragraph" w:styleId="Heading7">
    <w:name w:val="heading 7"/>
    <w:basedOn w:val="Normal"/>
    <w:next w:val="Normal"/>
    <w:qFormat/>
    <w:pPr>
      <w:keepNext/>
      <w:ind w:left="1440" w:firstLine="720"/>
      <w:outlineLvl w:val="6"/>
    </w:pPr>
    <w:rPr>
      <w:rFonts w:ascii="Times New Roman" w:hAnsi="Times New Roman"/>
      <w:sz w:val="24"/>
    </w:rPr>
  </w:style>
  <w:style w:type="paragraph" w:styleId="Heading8">
    <w:name w:val="heading 8"/>
    <w:basedOn w:val="Normal"/>
    <w:next w:val="Normal"/>
    <w:qFormat/>
    <w:pPr>
      <w:keepNext/>
      <w:outlineLvl w:val="7"/>
    </w:pPr>
    <w:rPr>
      <w:rFonts w:ascii="Garamond" w:hAnsi="Garamond"/>
      <w:sz w:val="28"/>
    </w:rPr>
  </w:style>
  <w:style w:type="paragraph" w:styleId="Heading9">
    <w:name w:val="heading 9"/>
    <w:basedOn w:val="Normal"/>
    <w:next w:val="Normal"/>
    <w:qFormat/>
    <w:pPr>
      <w:keepNext/>
      <w:tabs>
        <w:tab w:val="left" w:pos="360"/>
      </w:tabs>
      <w:ind w:left="360" w:hanging="360"/>
      <w:outlineLvl w:val="8"/>
    </w:pPr>
    <w:rPr>
      <w:rFonts w:ascii="Garamond" w:hAnsi="Garamond"/>
      <w:b/>
      <w:sz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rPr>
  </w:style>
  <w:style w:type="paragraph" w:styleId="BodyTextIndent2">
    <w:name w:val="Body Text Indent 2"/>
    <w:basedOn w:val="Normal"/>
    <w:pPr>
      <w:ind w:left="720" w:firstLine="720"/>
    </w:pPr>
    <w:rPr>
      <w:rFonts w:ascii="Times New Roman" w:hAnsi="Times New Roman"/>
      <w:sz w:val="24"/>
    </w:rPr>
  </w:style>
  <w:style w:type="paragraph" w:styleId="Title">
    <w:name w:val="Title"/>
    <w:basedOn w:val="Normal"/>
    <w:qFormat/>
    <w:pPr>
      <w:jc w:val="center"/>
    </w:pPr>
    <w:rPr>
      <w:rFonts w:ascii="Times New Roman" w:hAnsi="Times New Roman"/>
      <w:b/>
      <w:sz w:val="24"/>
    </w:rPr>
  </w:style>
  <w:style w:type="paragraph" w:styleId="BodyTextIndent3">
    <w:name w:val="Body Text Indent 3"/>
    <w:basedOn w:val="Normal"/>
    <w:pPr>
      <w:ind w:left="1440" w:hanging="720"/>
    </w:pPr>
    <w:rPr>
      <w:rFonts w:ascii="Times New Roman" w:hAnsi="Times New Roman"/>
      <w:sz w:val="24"/>
    </w:rPr>
  </w:style>
  <w:style w:type="paragraph" w:styleId="BodyText">
    <w:name w:val="Body Text"/>
    <w:basedOn w:val="Normal"/>
    <w:pPr>
      <w:tabs>
        <w:tab w:val="left" w:pos="360"/>
      </w:tabs>
    </w:pPr>
    <w:rPr>
      <w:rFonts w:ascii="Times New Roman" w:hAnsi="Times New Roman"/>
      <w:sz w:val="24"/>
    </w:rPr>
  </w:style>
  <w:style w:type="paragraph" w:styleId="DocumentMap">
    <w:name w:val="Document Map"/>
    <w:basedOn w:val="Normal"/>
    <w:semiHidden/>
    <w:pPr>
      <w:shd w:val="clear" w:color="auto" w:fill="000080"/>
    </w:pPr>
    <w:rPr>
      <w:rFonts w:ascii="Tahoma" w:hAnsi="Tahoma"/>
    </w:rPr>
  </w:style>
  <w:style w:type="paragraph" w:styleId="BlockText">
    <w:name w:val="Block Text"/>
    <w:basedOn w:val="Normal"/>
    <w:pPr>
      <w:tabs>
        <w:tab w:val="left" w:pos="360"/>
      </w:tabs>
      <w:ind w:left="720" w:right="720"/>
    </w:pPr>
    <w:rPr>
      <w:rFonts w:ascii="Times New Roman" w:hAnsi="Times New Roman"/>
      <w:sz w:val="24"/>
    </w:rPr>
  </w:style>
  <w:style w:type="paragraph" w:styleId="BodyText20">
    <w:name w:val="Body Text 2"/>
    <w:basedOn w:val="Normal"/>
    <w:pPr>
      <w:tabs>
        <w:tab w:val="left" w:pos="360"/>
      </w:tabs>
      <w:ind w:left="360" w:hanging="360"/>
    </w:pPr>
    <w:rPr>
      <w:rFonts w:ascii="Times New Roman" w:hAnsi="Times New Roman"/>
      <w:sz w:val="24"/>
    </w:rPr>
  </w:style>
  <w:style w:type="paragraph" w:styleId="BodyText21">
    <w:name w:val="Body Text 2"/>
    <w:basedOn w:val="Normal"/>
    <w:pPr>
      <w:ind w:left="720"/>
    </w:pPr>
    <w:rPr>
      <w:rFonts w:ascii="Times New Roman" w:hAnsi="Times New Roman"/>
      <w:sz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sz w:val="24"/>
    </w:rPr>
  </w:style>
  <w:style w:type="paragraph" w:styleId="Footer">
    <w:name w:val="footer"/>
    <w:basedOn w:val="Normal"/>
    <w:pPr>
      <w:tabs>
        <w:tab w:val="center" w:pos="4320"/>
        <w:tab w:val="right" w:pos="8640"/>
      </w:tabs>
    </w:pPr>
  </w:style>
  <w:style w:type="paragraph" w:customStyle="1" w:styleId="endnotetext">
    <w:name w:val="endnote text"/>
    <w:basedOn w:val="Normal"/>
    <w:rPr>
      <w:rFonts w:ascii="Times New Roman" w:hAnsi="Times New Roman"/>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www.gala-bingo.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1203</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Sample Course Outline – 30 Sessions</vt:lpstr>
    </vt:vector>
  </TitlesOfParts>
  <Company>Dartmouth College</Company>
  <LinksUpToDate>false</LinksUpToDate>
  <CharactersWithSpaces>8045</CharactersWithSpaces>
  <SharedDoc>false</SharedDoc>
  <HLinks>
    <vt:vector size="6" baseType="variant">
      <vt:variant>
        <vt:i4>1572885</vt:i4>
      </vt:variant>
      <vt:variant>
        <vt:i4>0</vt:i4>
      </vt:variant>
      <vt:variant>
        <vt:i4>0</vt:i4>
      </vt:variant>
      <vt:variant>
        <vt:i4>5</vt:i4>
      </vt:variant>
      <vt:variant>
        <vt:lpwstr>http://www.gala-bingo.co.uk/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Course Outline – 30 Sessions</dc:title>
  <dc:subject/>
  <dc:creator>Wake Forest University</dc:creator>
  <cp:keywords/>
  <dc:description/>
  <cp:lastModifiedBy>ZEENAT JABBAR</cp:lastModifiedBy>
  <cp:revision>2</cp:revision>
  <cp:lastPrinted>2002-07-16T08:43:00Z</cp:lastPrinted>
  <dcterms:created xsi:type="dcterms:W3CDTF">2013-05-08T05:09:00Z</dcterms:created>
  <dcterms:modified xsi:type="dcterms:W3CDTF">2013-05-08T05:09:00Z</dcterms:modified>
</cp:coreProperties>
</file>