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44E" w:rsidRDefault="006838D9">
      <w:pPr>
        <w:tabs>
          <w:tab w:val="left" w:pos="360"/>
        </w:tabs>
        <w:jc w:val="center"/>
        <w:rPr>
          <w:rFonts w:ascii="Garamond" w:hAnsi="Garamond"/>
          <w:b/>
          <w:sz w:val="24"/>
        </w:rPr>
      </w:pPr>
      <w:bookmarkStart w:id="0" w:name="_GoBack"/>
      <w:bookmarkEnd w:id="0"/>
      <w:r>
        <w:rPr>
          <w:rFonts w:ascii="Garamond" w:hAnsi="Garamond"/>
          <w:b/>
          <w:sz w:val="24"/>
        </w:rPr>
        <w:t>LECTURE</w:t>
      </w:r>
      <w:r w:rsidR="004C344E">
        <w:rPr>
          <w:rFonts w:ascii="Garamond" w:hAnsi="Garamond"/>
          <w:b/>
          <w:sz w:val="24"/>
        </w:rPr>
        <w:t xml:space="preserve"> </w:t>
      </w:r>
      <w:r>
        <w:rPr>
          <w:rFonts w:ascii="Garamond" w:hAnsi="Garamond"/>
          <w:b/>
          <w:sz w:val="24"/>
        </w:rPr>
        <w:t>2</w:t>
      </w:r>
      <w:r w:rsidR="004C344E">
        <w:rPr>
          <w:rFonts w:ascii="Garamond" w:hAnsi="Garamond"/>
          <w:b/>
          <w:sz w:val="24"/>
        </w:rPr>
        <w:t>5</w:t>
      </w:r>
    </w:p>
    <w:p w:rsidR="004C344E" w:rsidRDefault="006838D9">
      <w:pPr>
        <w:tabs>
          <w:tab w:val="left" w:pos="360"/>
        </w:tabs>
        <w:jc w:val="center"/>
        <w:rPr>
          <w:rFonts w:ascii="Garamond" w:hAnsi="Garamond"/>
          <w:b/>
          <w:sz w:val="24"/>
        </w:rPr>
      </w:pPr>
      <w:r>
        <w:rPr>
          <w:rFonts w:ascii="Garamond" w:hAnsi="Garamond"/>
          <w:b/>
          <w:sz w:val="24"/>
        </w:rPr>
        <w:t>CUSTOMER-BASED BRAND EQUITY</w:t>
      </w:r>
    </w:p>
    <w:p w:rsidR="004C344E" w:rsidRDefault="004C344E">
      <w:pPr>
        <w:tabs>
          <w:tab w:val="left" w:pos="360"/>
        </w:tabs>
        <w:rPr>
          <w:rFonts w:ascii="Garamond" w:hAnsi="Garamond"/>
          <w:sz w:val="24"/>
        </w:rPr>
      </w:pPr>
    </w:p>
    <w:p w:rsidR="004C344E" w:rsidRDefault="004C344E">
      <w:pPr>
        <w:tabs>
          <w:tab w:val="left" w:pos="360"/>
        </w:tabs>
        <w:rPr>
          <w:rFonts w:ascii="Garamond" w:hAnsi="Garamond"/>
          <w:sz w:val="24"/>
        </w:rPr>
      </w:pPr>
    </w:p>
    <w:p w:rsidR="004C344E" w:rsidRDefault="004C344E">
      <w:pPr>
        <w:pStyle w:val="Heading2"/>
        <w:rPr>
          <w:rFonts w:ascii="Garamond" w:hAnsi="Garamond"/>
          <w:u w:val="single"/>
        </w:rPr>
      </w:pPr>
      <w:r>
        <w:rPr>
          <w:rFonts w:ascii="Garamond" w:hAnsi="Garamond"/>
          <w:b/>
          <w:u w:val="single"/>
        </w:rPr>
        <w:t>Overview</w:t>
      </w:r>
    </w:p>
    <w:p w:rsidR="006838D9" w:rsidRDefault="006838D9">
      <w:pPr>
        <w:pStyle w:val="BodyText"/>
        <w:rPr>
          <w:rFonts w:ascii="Garamond" w:hAnsi="Garamond"/>
        </w:rPr>
      </w:pPr>
    </w:p>
    <w:p w:rsidR="004C344E" w:rsidRDefault="004C344E">
      <w:pPr>
        <w:pStyle w:val="BodyText"/>
        <w:rPr>
          <w:rFonts w:ascii="Garamond" w:hAnsi="Garamond"/>
        </w:rPr>
      </w:pPr>
      <w:r>
        <w:rPr>
          <w:rFonts w:ascii="Garamond" w:hAnsi="Garamond"/>
        </w:rPr>
        <w:t>Th</w:t>
      </w:r>
      <w:r w:rsidR="006838D9">
        <w:rPr>
          <w:rFonts w:ascii="Garamond" w:hAnsi="Garamond"/>
        </w:rPr>
        <w:t>is</w:t>
      </w:r>
      <w:r>
        <w:rPr>
          <w:rFonts w:ascii="Garamond" w:hAnsi="Garamond"/>
        </w:rPr>
        <w:t xml:space="preserve"> chapter of the book summarizes the customer-based brand equity framework; reviews guidelines for building, measuring, and managing brand equity described in earlier chapters; then offers a perspective on activities and attitudes that can help or hurt a brand. </w:t>
      </w:r>
    </w:p>
    <w:p w:rsidR="004C344E" w:rsidRDefault="004C344E">
      <w:pPr>
        <w:tabs>
          <w:tab w:val="left" w:pos="360"/>
        </w:tabs>
        <w:rPr>
          <w:rFonts w:ascii="Garamond" w:hAnsi="Garamond"/>
          <w:sz w:val="24"/>
        </w:rPr>
      </w:pPr>
    </w:p>
    <w:p w:rsidR="004C344E" w:rsidRDefault="004C344E">
      <w:pPr>
        <w:tabs>
          <w:tab w:val="left" w:pos="360"/>
        </w:tabs>
        <w:rPr>
          <w:rFonts w:ascii="Garamond" w:hAnsi="Garamond"/>
          <w:sz w:val="24"/>
        </w:rPr>
      </w:pPr>
      <w:r>
        <w:rPr>
          <w:rFonts w:ascii="Garamond" w:hAnsi="Garamond"/>
          <w:sz w:val="24"/>
        </w:rPr>
        <w:t>A brand’s equity can be weakened by a failure to understand the full range of associations consumers have for it, inadequate marketing support, unwillingness to spend the time and/or money required to build brand awareness and image, a lack of appreciation of the brand equity concept within the corporation, or an inability to strike the appropriate balance between maintaining consistency and implementing change in marketing actions.</w:t>
      </w:r>
    </w:p>
    <w:p w:rsidR="004C344E" w:rsidRDefault="004C344E">
      <w:pPr>
        <w:tabs>
          <w:tab w:val="left" w:pos="360"/>
        </w:tabs>
        <w:rPr>
          <w:rFonts w:ascii="Garamond" w:hAnsi="Garamond"/>
          <w:sz w:val="24"/>
        </w:rPr>
      </w:pPr>
    </w:p>
    <w:p w:rsidR="004C344E" w:rsidRDefault="004C344E">
      <w:pPr>
        <w:tabs>
          <w:tab w:val="left" w:pos="360"/>
        </w:tabs>
        <w:rPr>
          <w:rFonts w:ascii="Garamond" w:hAnsi="Garamond"/>
          <w:sz w:val="24"/>
        </w:rPr>
      </w:pPr>
      <w:r>
        <w:rPr>
          <w:rFonts w:ascii="Garamond" w:hAnsi="Garamond"/>
          <w:sz w:val="24"/>
        </w:rPr>
        <w:t>In order to maximize brand equity, firms must develop products that fit with a brand’s meaning and satisfy the needs and wants of consumers; decide on the points of parity and points of difference that will result in the best market position; provide superior delivery of benefits; maintain innovation in design, manufacturing and marketing; be seen as expert, trustworthy and likable; communicate with a consistent voice; employ a full range of complementary brand elements and supporting marketing programs; and design and implement a brand hierarchy and brand portfolio that establishes the optimal relationship among the company’s offerings.</w:t>
      </w:r>
    </w:p>
    <w:p w:rsidR="004C344E" w:rsidRDefault="004C344E">
      <w:pPr>
        <w:tabs>
          <w:tab w:val="left" w:pos="360"/>
        </w:tabs>
        <w:rPr>
          <w:rFonts w:ascii="Garamond" w:hAnsi="Garamond"/>
          <w:sz w:val="24"/>
        </w:rPr>
      </w:pPr>
    </w:p>
    <w:p w:rsidR="004C344E" w:rsidRDefault="004C344E">
      <w:pPr>
        <w:tabs>
          <w:tab w:val="left" w:pos="360"/>
        </w:tabs>
        <w:rPr>
          <w:rFonts w:ascii="Garamond" w:hAnsi="Garamond"/>
          <w:sz w:val="24"/>
        </w:rPr>
      </w:pPr>
      <w:r>
        <w:rPr>
          <w:rFonts w:ascii="Garamond" w:hAnsi="Garamond"/>
          <w:sz w:val="24"/>
        </w:rPr>
        <w:t>Brand management issues related to industrial goods, high-technology products, services, retailers, and small businesses are discussed. The brand equity framework is compared to models developed by other authors. The chapter and the book conclude by considering how branding and branding principles might change over time.</w:t>
      </w:r>
    </w:p>
    <w:p w:rsidR="004C344E" w:rsidRDefault="004C344E">
      <w:pPr>
        <w:tabs>
          <w:tab w:val="left" w:pos="360"/>
        </w:tabs>
        <w:rPr>
          <w:rFonts w:ascii="Garamond" w:hAnsi="Garamond"/>
          <w:sz w:val="24"/>
        </w:rPr>
      </w:pPr>
    </w:p>
    <w:p w:rsidR="004C344E" w:rsidRDefault="004C344E">
      <w:pPr>
        <w:tabs>
          <w:tab w:val="left" w:pos="360"/>
        </w:tabs>
        <w:rPr>
          <w:rFonts w:ascii="Garamond" w:hAnsi="Garamond"/>
          <w:sz w:val="24"/>
        </w:rPr>
      </w:pPr>
      <w:r>
        <w:rPr>
          <w:rFonts w:ascii="Garamond" w:hAnsi="Garamond"/>
          <w:sz w:val="24"/>
        </w:rPr>
        <w:t xml:space="preserve">Brand Focus 15.0 details the Brand Report Card. The Brand Report Card evaluates a company’s brand management based on the following criteria: managers understand what the brand means to consumers; the brand is properly positioned; customers receive superior delivery of the benefits they value most; the brand takes advantage of the full repertoire of branding and marketing activities available to build brand equity; marketing and communications efforts are seamlessly integrated and the brand communicates with one voice; the brand’s pricing strategy is based on consumer’s perceptions of value; the brand uses appropriate imagery to support its personality; the brand is innovative and relevant; for a multi-product, multi-brand company, the brand hierarchy and brand portfolio are strategically sound; the company has in place a system to monitor brand equity and performance. </w:t>
      </w:r>
    </w:p>
    <w:p w:rsidR="004C344E" w:rsidRDefault="004C344E">
      <w:pPr>
        <w:tabs>
          <w:tab w:val="left" w:pos="360"/>
        </w:tabs>
        <w:rPr>
          <w:rFonts w:ascii="Garamond" w:hAnsi="Garamond"/>
          <w:sz w:val="24"/>
        </w:rPr>
      </w:pPr>
    </w:p>
    <w:p w:rsidR="004C344E" w:rsidRDefault="004C344E">
      <w:pPr>
        <w:rPr>
          <w:rFonts w:ascii="Garamond" w:hAnsi="Garamond"/>
          <w:sz w:val="24"/>
        </w:rPr>
      </w:pPr>
    </w:p>
    <w:p w:rsidR="004C344E" w:rsidRDefault="004C344E">
      <w:pPr>
        <w:jc w:val="center"/>
        <w:rPr>
          <w:rFonts w:ascii="Garamond" w:hAnsi="Garamond"/>
          <w:b/>
          <w:i/>
          <w:caps/>
          <w:sz w:val="24"/>
        </w:rPr>
      </w:pPr>
      <w:r>
        <w:rPr>
          <w:rFonts w:ascii="Garamond" w:hAnsi="Garamond"/>
          <w:sz w:val="24"/>
        </w:rPr>
        <w:br w:type="page"/>
      </w:r>
      <w:r w:rsidR="00455516">
        <w:rPr>
          <w:rFonts w:ascii="Garamond" w:hAnsi="Garamond"/>
          <w:b/>
          <w:i/>
          <w:caps/>
          <w:sz w:val="24"/>
        </w:rPr>
        <w:lastRenderedPageBreak/>
        <w:t>branding Brief 15-8</w:t>
      </w:r>
    </w:p>
    <w:p w:rsidR="004C344E" w:rsidRDefault="004C344E">
      <w:pPr>
        <w:jc w:val="center"/>
        <w:rPr>
          <w:rFonts w:ascii="Garamond" w:hAnsi="Garamond"/>
          <w:sz w:val="24"/>
        </w:rPr>
      </w:pPr>
      <w:r>
        <w:rPr>
          <w:rFonts w:ascii="Garamond" w:hAnsi="Garamond"/>
          <w:b/>
          <w:i/>
          <w:caps/>
          <w:sz w:val="24"/>
        </w:rPr>
        <w:t>categories of products and services</w:t>
      </w:r>
    </w:p>
    <w:p w:rsidR="004C344E" w:rsidRDefault="004C344E">
      <w:pPr>
        <w:pStyle w:val="Footer"/>
        <w:tabs>
          <w:tab w:val="clear" w:pos="4320"/>
          <w:tab w:val="clear" w:pos="8640"/>
        </w:tabs>
        <w:spacing w:line="480" w:lineRule="atLeast"/>
        <w:rPr>
          <w:rFonts w:ascii="Garamond" w:hAnsi="Garamond"/>
        </w:rPr>
      </w:pPr>
    </w:p>
    <w:p w:rsidR="004C344E" w:rsidRDefault="004C344E">
      <w:pPr>
        <w:rPr>
          <w:rFonts w:ascii="Garamond" w:hAnsi="Garamond"/>
          <w:sz w:val="24"/>
        </w:rPr>
      </w:pPr>
      <w:r>
        <w:rPr>
          <w:rFonts w:ascii="Garamond" w:hAnsi="Garamond"/>
          <w:sz w:val="24"/>
        </w:rPr>
        <w:t>Physical goods can be classified in various ways.  For example, one classification based on consumer shopping habits distinguishes between the following:</w:t>
      </w:r>
      <w:r>
        <w:rPr>
          <w:rStyle w:val="FootnoteReference"/>
          <w:rFonts w:ascii="Garamond" w:hAnsi="Garamond"/>
          <w:sz w:val="24"/>
        </w:rPr>
        <w:footnoteReference w:id="1"/>
      </w:r>
    </w:p>
    <w:p w:rsidR="004C344E" w:rsidRDefault="004C344E">
      <w:pPr>
        <w:spacing w:before="120"/>
        <w:ind w:left="1440" w:hanging="720"/>
        <w:rPr>
          <w:rFonts w:ascii="Garamond" w:hAnsi="Garamond"/>
          <w:sz w:val="24"/>
        </w:rPr>
      </w:pPr>
      <w:r>
        <w:rPr>
          <w:rFonts w:ascii="Garamond" w:hAnsi="Garamond"/>
          <w:sz w:val="24"/>
        </w:rPr>
        <w:t>1)</w:t>
      </w:r>
      <w:r>
        <w:rPr>
          <w:rFonts w:ascii="Garamond" w:hAnsi="Garamond"/>
          <w:sz w:val="24"/>
        </w:rPr>
        <w:tab/>
      </w:r>
      <w:r>
        <w:rPr>
          <w:rFonts w:ascii="Garamond" w:hAnsi="Garamond"/>
          <w:sz w:val="24"/>
          <w:u w:val="single"/>
        </w:rPr>
        <w:t>Convenience goods</w:t>
      </w:r>
      <w:r>
        <w:rPr>
          <w:rFonts w:ascii="Garamond" w:hAnsi="Garamond"/>
          <w:sz w:val="24"/>
        </w:rPr>
        <w:t xml:space="preserve">.  </w:t>
      </w:r>
      <w:proofErr w:type="gramStart"/>
      <w:r>
        <w:rPr>
          <w:rFonts w:ascii="Garamond" w:hAnsi="Garamond"/>
          <w:sz w:val="24"/>
        </w:rPr>
        <w:t>Goods that the customer usually purchases frequently, immediately, and with a minimum of effort (e.g., chewing gum, candy bars, and soft drinks).</w:t>
      </w:r>
      <w:proofErr w:type="gramEnd"/>
    </w:p>
    <w:p w:rsidR="004C344E" w:rsidRDefault="004C344E">
      <w:pPr>
        <w:spacing w:before="120"/>
        <w:ind w:left="1440" w:hanging="720"/>
        <w:rPr>
          <w:rFonts w:ascii="Garamond" w:hAnsi="Garamond"/>
          <w:sz w:val="24"/>
        </w:rPr>
      </w:pPr>
      <w:r>
        <w:rPr>
          <w:rFonts w:ascii="Garamond" w:hAnsi="Garamond"/>
          <w:sz w:val="24"/>
        </w:rPr>
        <w:t>2)</w:t>
      </w:r>
      <w:r>
        <w:rPr>
          <w:rFonts w:ascii="Garamond" w:hAnsi="Garamond"/>
          <w:sz w:val="24"/>
        </w:rPr>
        <w:tab/>
      </w:r>
      <w:r>
        <w:rPr>
          <w:rFonts w:ascii="Garamond" w:hAnsi="Garamond"/>
          <w:sz w:val="24"/>
          <w:u w:val="single"/>
        </w:rPr>
        <w:t>Shopping goods</w:t>
      </w:r>
      <w:r>
        <w:rPr>
          <w:rFonts w:ascii="Garamond" w:hAnsi="Garamond"/>
          <w:sz w:val="24"/>
        </w:rPr>
        <w:t xml:space="preserve">.  </w:t>
      </w:r>
      <w:proofErr w:type="gramStart"/>
      <w:r>
        <w:rPr>
          <w:rFonts w:ascii="Garamond" w:hAnsi="Garamond"/>
          <w:sz w:val="24"/>
        </w:rPr>
        <w:t>Goods that the customer, in the process of selection and purchase, characteristically compares on such bases as suitability, quality, price, and style (e.g., furniture, clothing, and major appliances).</w:t>
      </w:r>
      <w:proofErr w:type="gramEnd"/>
    </w:p>
    <w:p w:rsidR="004C344E" w:rsidRDefault="004C344E">
      <w:pPr>
        <w:spacing w:before="120"/>
        <w:ind w:left="1440" w:hanging="720"/>
        <w:rPr>
          <w:rFonts w:ascii="Garamond" w:hAnsi="Garamond"/>
          <w:sz w:val="24"/>
        </w:rPr>
      </w:pPr>
      <w:r>
        <w:rPr>
          <w:rFonts w:ascii="Garamond" w:hAnsi="Garamond"/>
          <w:sz w:val="24"/>
        </w:rPr>
        <w:t>3)</w:t>
      </w:r>
      <w:r>
        <w:rPr>
          <w:rFonts w:ascii="Garamond" w:hAnsi="Garamond"/>
          <w:sz w:val="24"/>
        </w:rPr>
        <w:tab/>
      </w:r>
      <w:r>
        <w:rPr>
          <w:rFonts w:ascii="Garamond" w:hAnsi="Garamond"/>
          <w:sz w:val="24"/>
          <w:u w:val="single"/>
        </w:rPr>
        <w:t>Specialty goods</w:t>
      </w:r>
      <w:r>
        <w:rPr>
          <w:rFonts w:ascii="Garamond" w:hAnsi="Garamond"/>
          <w:sz w:val="24"/>
        </w:rPr>
        <w:t xml:space="preserve">.  </w:t>
      </w:r>
      <w:proofErr w:type="gramStart"/>
      <w:r>
        <w:rPr>
          <w:rFonts w:ascii="Garamond" w:hAnsi="Garamond"/>
          <w:sz w:val="24"/>
        </w:rPr>
        <w:t>Goods with unique characteristics and/or brand identification for which a significant group of buyers are habitually willing to make a special purchasing effort (e.g., specific brands and types of luxury goods, cars, and audio and video equipment).</w:t>
      </w:r>
      <w:proofErr w:type="gramEnd"/>
    </w:p>
    <w:p w:rsidR="004C344E" w:rsidRDefault="004C344E">
      <w:pPr>
        <w:rPr>
          <w:rFonts w:ascii="Garamond" w:hAnsi="Garamond"/>
          <w:sz w:val="24"/>
        </w:rPr>
      </w:pPr>
      <w:r>
        <w:rPr>
          <w:rFonts w:ascii="Garamond" w:hAnsi="Garamond"/>
          <w:sz w:val="24"/>
        </w:rPr>
        <w:tab/>
      </w:r>
    </w:p>
    <w:p w:rsidR="004C344E" w:rsidRDefault="004C344E">
      <w:pPr>
        <w:rPr>
          <w:rFonts w:ascii="Garamond" w:hAnsi="Garamond"/>
          <w:sz w:val="24"/>
        </w:rPr>
      </w:pPr>
      <w:r>
        <w:rPr>
          <w:rFonts w:ascii="Garamond" w:hAnsi="Garamond"/>
          <w:sz w:val="24"/>
        </w:rPr>
        <w:t xml:space="preserve">Another classification is based on durability:  </w:t>
      </w:r>
      <w:r>
        <w:rPr>
          <w:rFonts w:ascii="Garamond" w:hAnsi="Garamond"/>
          <w:sz w:val="24"/>
          <w:u w:val="single"/>
        </w:rPr>
        <w:t>Nondurable goods</w:t>
      </w:r>
      <w:r>
        <w:rPr>
          <w:rFonts w:ascii="Garamond" w:hAnsi="Garamond"/>
          <w:sz w:val="24"/>
        </w:rPr>
        <w:t xml:space="preserve"> are goods that normally are consumed in one or a few uses; </w:t>
      </w:r>
      <w:r>
        <w:rPr>
          <w:rFonts w:ascii="Garamond" w:hAnsi="Garamond"/>
          <w:sz w:val="24"/>
          <w:u w:val="single"/>
        </w:rPr>
        <w:t>durable goods</w:t>
      </w:r>
      <w:r>
        <w:rPr>
          <w:rFonts w:ascii="Garamond" w:hAnsi="Garamond"/>
          <w:sz w:val="24"/>
        </w:rPr>
        <w:t xml:space="preserve"> are tangible goods that normally survive many uses.  Finally, an additional physical goods classification is based on the nature of the customer buying the product:  </w:t>
      </w:r>
      <w:r>
        <w:rPr>
          <w:rFonts w:ascii="Garamond" w:hAnsi="Garamond"/>
          <w:sz w:val="24"/>
          <w:u w:val="single"/>
        </w:rPr>
        <w:t>Consumer goods</w:t>
      </w:r>
      <w:r>
        <w:rPr>
          <w:rFonts w:ascii="Garamond" w:hAnsi="Garamond"/>
          <w:sz w:val="24"/>
        </w:rPr>
        <w:t xml:space="preserve"> are typically bought by an individual or family for personal or home use whereas </w:t>
      </w:r>
      <w:r>
        <w:rPr>
          <w:rFonts w:ascii="Garamond" w:hAnsi="Garamond"/>
          <w:sz w:val="24"/>
          <w:u w:val="single"/>
        </w:rPr>
        <w:t>industrial goods</w:t>
      </w:r>
      <w:r>
        <w:rPr>
          <w:rFonts w:ascii="Garamond" w:hAnsi="Garamond"/>
          <w:sz w:val="24"/>
        </w:rPr>
        <w:t xml:space="preserve"> are typically bought by an organization for business or commercial use.  There are many different types of industrial goods, such as:</w:t>
      </w:r>
      <w:r>
        <w:rPr>
          <w:rStyle w:val="FootnoteReference"/>
          <w:rFonts w:ascii="Garamond" w:hAnsi="Garamond"/>
          <w:sz w:val="24"/>
        </w:rPr>
        <w:footnoteReference w:id="2"/>
      </w:r>
      <w:r>
        <w:rPr>
          <w:rFonts w:ascii="Garamond" w:hAnsi="Garamond"/>
          <w:sz w:val="24"/>
        </w:rPr>
        <w:t xml:space="preserve">  </w:t>
      </w:r>
    </w:p>
    <w:p w:rsidR="004C344E" w:rsidRDefault="004C344E">
      <w:pPr>
        <w:spacing w:before="120"/>
        <w:ind w:left="1440" w:hanging="720"/>
        <w:rPr>
          <w:rFonts w:ascii="Garamond" w:hAnsi="Garamond"/>
          <w:sz w:val="24"/>
        </w:rPr>
      </w:pPr>
      <w:r>
        <w:rPr>
          <w:rFonts w:ascii="Garamond" w:hAnsi="Garamond"/>
          <w:sz w:val="24"/>
        </w:rPr>
        <w:t>1)</w:t>
      </w:r>
      <w:r>
        <w:rPr>
          <w:rFonts w:ascii="Garamond" w:hAnsi="Garamond"/>
          <w:sz w:val="24"/>
        </w:rPr>
        <w:tab/>
        <w:t xml:space="preserve">Raw materials and manufactured materials and parts that enter the manufacturer's product completely; </w:t>
      </w:r>
    </w:p>
    <w:p w:rsidR="004C344E" w:rsidRDefault="004C344E">
      <w:pPr>
        <w:spacing w:before="120"/>
        <w:ind w:left="1440" w:hanging="720"/>
        <w:rPr>
          <w:rFonts w:ascii="Garamond" w:hAnsi="Garamond"/>
          <w:sz w:val="24"/>
        </w:rPr>
      </w:pPr>
      <w:r>
        <w:rPr>
          <w:rFonts w:ascii="Garamond" w:hAnsi="Garamond"/>
          <w:sz w:val="24"/>
        </w:rPr>
        <w:t>2)</w:t>
      </w:r>
      <w:r>
        <w:rPr>
          <w:rFonts w:ascii="Garamond" w:hAnsi="Garamond"/>
          <w:sz w:val="24"/>
        </w:rPr>
        <w:tab/>
        <w:t xml:space="preserve">Long-lasting capital installations and equipment that facilitate developing and/or managing finished products; and </w:t>
      </w:r>
    </w:p>
    <w:p w:rsidR="004C344E" w:rsidRDefault="004C344E">
      <w:pPr>
        <w:pStyle w:val="BodyText2"/>
      </w:pPr>
      <w:r>
        <w:t>3)</w:t>
      </w:r>
      <w:r>
        <w:tab/>
        <w:t>Short-lasting supplies and services that facilitate developing and/or managing finished products.</w:t>
      </w:r>
    </w:p>
    <w:p w:rsidR="004C344E" w:rsidRDefault="004C344E">
      <w:pPr>
        <w:spacing w:line="240" w:lineRule="atLeast"/>
        <w:rPr>
          <w:rFonts w:ascii="Garamond" w:hAnsi="Garamond"/>
          <w:sz w:val="24"/>
        </w:rPr>
      </w:pPr>
    </w:p>
    <w:p w:rsidR="004C344E" w:rsidRDefault="004C344E">
      <w:pPr>
        <w:rPr>
          <w:rFonts w:ascii="Garamond" w:hAnsi="Garamond"/>
          <w:sz w:val="24"/>
        </w:rPr>
      </w:pPr>
      <w:r>
        <w:rPr>
          <w:rFonts w:ascii="Garamond" w:hAnsi="Garamond"/>
          <w:sz w:val="24"/>
        </w:rPr>
        <w:t>Kotler defines a service as "any act or performance that one party can offer to another that is essentially intangible and does not result in the ownership of anything."</w:t>
      </w:r>
      <w:r>
        <w:rPr>
          <w:rStyle w:val="FootnoteReference"/>
          <w:rFonts w:ascii="Garamond" w:hAnsi="Garamond"/>
          <w:sz w:val="24"/>
        </w:rPr>
        <w:footnoteReference w:id="3"/>
      </w:r>
      <w:r>
        <w:rPr>
          <w:rFonts w:ascii="Garamond" w:hAnsi="Garamond"/>
          <w:sz w:val="24"/>
        </w:rPr>
        <w:t xml:space="preserve">  Services come in many different forms.  Although the production of services is not necessarily tied to a physical product, they can often accompany goods in some way.  Kotler maintains that company service offerings can really be placed on a continuum that includes five levels:  </w:t>
      </w:r>
    </w:p>
    <w:p w:rsidR="004C344E" w:rsidRDefault="004C344E">
      <w:pPr>
        <w:spacing w:before="120"/>
        <w:ind w:left="1440" w:hanging="720"/>
        <w:rPr>
          <w:rFonts w:ascii="Garamond" w:hAnsi="Garamond"/>
          <w:sz w:val="24"/>
        </w:rPr>
      </w:pPr>
      <w:r>
        <w:rPr>
          <w:rFonts w:ascii="Garamond" w:hAnsi="Garamond"/>
          <w:sz w:val="24"/>
        </w:rPr>
        <w:t>1)</w:t>
      </w:r>
      <w:r>
        <w:rPr>
          <w:rFonts w:ascii="Garamond" w:hAnsi="Garamond"/>
          <w:sz w:val="24"/>
        </w:rPr>
        <w:tab/>
      </w:r>
      <w:r>
        <w:rPr>
          <w:rFonts w:ascii="Garamond" w:hAnsi="Garamond"/>
          <w:sz w:val="24"/>
          <w:u w:val="single"/>
        </w:rPr>
        <w:t>Pure tangible good</w:t>
      </w:r>
      <w:r>
        <w:rPr>
          <w:rFonts w:ascii="Garamond" w:hAnsi="Garamond"/>
          <w:sz w:val="24"/>
        </w:rPr>
        <w:t xml:space="preserve"> (e.g., a toothpaste), </w:t>
      </w:r>
    </w:p>
    <w:p w:rsidR="004C344E" w:rsidRDefault="004C344E">
      <w:pPr>
        <w:spacing w:before="120"/>
        <w:ind w:left="1440" w:hanging="720"/>
        <w:rPr>
          <w:rFonts w:ascii="Garamond" w:hAnsi="Garamond"/>
          <w:sz w:val="24"/>
        </w:rPr>
      </w:pPr>
      <w:r>
        <w:rPr>
          <w:rFonts w:ascii="Garamond" w:hAnsi="Garamond"/>
          <w:sz w:val="24"/>
        </w:rPr>
        <w:t>2)</w:t>
      </w:r>
      <w:r>
        <w:rPr>
          <w:rFonts w:ascii="Garamond" w:hAnsi="Garamond"/>
          <w:sz w:val="24"/>
        </w:rPr>
        <w:tab/>
      </w:r>
      <w:r>
        <w:rPr>
          <w:rFonts w:ascii="Garamond" w:hAnsi="Garamond"/>
          <w:sz w:val="24"/>
          <w:u w:val="single"/>
        </w:rPr>
        <w:t>Tangible good with accompanying services</w:t>
      </w:r>
      <w:r>
        <w:rPr>
          <w:rFonts w:ascii="Garamond" w:hAnsi="Garamond"/>
          <w:sz w:val="24"/>
        </w:rPr>
        <w:t xml:space="preserve"> (e.g., an automobile), </w:t>
      </w:r>
    </w:p>
    <w:p w:rsidR="004C344E" w:rsidRDefault="004C344E">
      <w:pPr>
        <w:spacing w:before="120"/>
        <w:ind w:left="1440" w:hanging="720"/>
        <w:rPr>
          <w:rFonts w:ascii="Garamond" w:hAnsi="Garamond"/>
          <w:sz w:val="24"/>
        </w:rPr>
      </w:pPr>
      <w:r>
        <w:rPr>
          <w:rFonts w:ascii="Garamond" w:hAnsi="Garamond"/>
          <w:sz w:val="24"/>
        </w:rPr>
        <w:lastRenderedPageBreak/>
        <w:t>3)</w:t>
      </w:r>
      <w:r>
        <w:rPr>
          <w:rFonts w:ascii="Garamond" w:hAnsi="Garamond"/>
          <w:sz w:val="24"/>
        </w:rPr>
        <w:tab/>
      </w:r>
      <w:r>
        <w:rPr>
          <w:rFonts w:ascii="Garamond" w:hAnsi="Garamond"/>
          <w:sz w:val="24"/>
          <w:u w:val="single"/>
        </w:rPr>
        <w:t>Hybrid</w:t>
      </w:r>
      <w:r>
        <w:rPr>
          <w:rFonts w:ascii="Garamond" w:hAnsi="Garamond"/>
          <w:sz w:val="24"/>
        </w:rPr>
        <w:t xml:space="preserve"> (e.g., a restaurant), </w:t>
      </w:r>
    </w:p>
    <w:p w:rsidR="004C344E" w:rsidRDefault="004C344E">
      <w:pPr>
        <w:spacing w:before="120"/>
        <w:ind w:left="1440" w:hanging="720"/>
        <w:rPr>
          <w:rFonts w:ascii="Garamond" w:hAnsi="Garamond"/>
          <w:sz w:val="24"/>
        </w:rPr>
      </w:pPr>
      <w:r>
        <w:rPr>
          <w:rFonts w:ascii="Garamond" w:hAnsi="Garamond"/>
          <w:sz w:val="24"/>
        </w:rPr>
        <w:t>4)</w:t>
      </w:r>
      <w:r>
        <w:rPr>
          <w:rFonts w:ascii="Garamond" w:hAnsi="Garamond"/>
          <w:sz w:val="24"/>
        </w:rPr>
        <w:tab/>
      </w:r>
      <w:r>
        <w:rPr>
          <w:rFonts w:ascii="Garamond" w:hAnsi="Garamond"/>
          <w:sz w:val="24"/>
          <w:u w:val="single"/>
        </w:rPr>
        <w:t xml:space="preserve">Major </w:t>
      </w:r>
      <w:proofErr w:type="gramStart"/>
      <w:r>
        <w:rPr>
          <w:rFonts w:ascii="Garamond" w:hAnsi="Garamond"/>
          <w:sz w:val="24"/>
          <w:u w:val="single"/>
        </w:rPr>
        <w:t>service</w:t>
      </w:r>
      <w:proofErr w:type="gramEnd"/>
      <w:r>
        <w:rPr>
          <w:rFonts w:ascii="Garamond" w:hAnsi="Garamond"/>
          <w:sz w:val="24"/>
          <w:u w:val="single"/>
        </w:rPr>
        <w:t xml:space="preserve"> with accompanying minor goods and services</w:t>
      </w:r>
      <w:r>
        <w:rPr>
          <w:rFonts w:ascii="Garamond" w:hAnsi="Garamond"/>
          <w:sz w:val="24"/>
        </w:rPr>
        <w:t xml:space="preserve"> (e.g., an airline), and</w:t>
      </w:r>
    </w:p>
    <w:p w:rsidR="004C344E" w:rsidRDefault="004C344E">
      <w:pPr>
        <w:spacing w:before="120"/>
        <w:ind w:left="1440" w:hanging="720"/>
        <w:rPr>
          <w:rFonts w:ascii="Garamond" w:hAnsi="Garamond"/>
          <w:sz w:val="24"/>
        </w:rPr>
      </w:pPr>
      <w:r>
        <w:rPr>
          <w:rFonts w:ascii="Garamond" w:hAnsi="Garamond"/>
          <w:sz w:val="24"/>
        </w:rPr>
        <w:t>5)</w:t>
      </w:r>
      <w:r>
        <w:rPr>
          <w:rFonts w:ascii="Garamond" w:hAnsi="Garamond"/>
          <w:sz w:val="24"/>
        </w:rPr>
        <w:tab/>
      </w:r>
      <w:r>
        <w:rPr>
          <w:rFonts w:ascii="Garamond" w:hAnsi="Garamond"/>
          <w:sz w:val="24"/>
          <w:u w:val="single"/>
        </w:rPr>
        <w:t>Pure service</w:t>
      </w:r>
      <w:r>
        <w:rPr>
          <w:rFonts w:ascii="Garamond" w:hAnsi="Garamond"/>
          <w:sz w:val="24"/>
        </w:rPr>
        <w:t xml:space="preserve"> (e.g., a hair stylist).  </w:t>
      </w:r>
    </w:p>
    <w:p w:rsidR="004C344E" w:rsidRDefault="004C344E">
      <w:pPr>
        <w:rPr>
          <w:rFonts w:ascii="Garamond" w:hAnsi="Garamond"/>
          <w:sz w:val="24"/>
        </w:rPr>
      </w:pPr>
    </w:p>
    <w:p w:rsidR="004C344E" w:rsidRDefault="004C344E">
      <w:pPr>
        <w:rPr>
          <w:rFonts w:ascii="Garamond" w:hAnsi="Garamond"/>
          <w:sz w:val="24"/>
        </w:rPr>
      </w:pPr>
      <w:r>
        <w:rPr>
          <w:rFonts w:ascii="Garamond" w:hAnsi="Garamond"/>
          <w:sz w:val="24"/>
        </w:rPr>
        <w:t>In terms of where offerings are placed on the continuum, pure services can be distinguished from pure tangible goods along four dimensions:</w:t>
      </w:r>
    </w:p>
    <w:p w:rsidR="004C344E" w:rsidRDefault="004C344E">
      <w:pPr>
        <w:spacing w:before="120"/>
        <w:ind w:left="1440" w:hanging="720"/>
        <w:rPr>
          <w:rFonts w:ascii="Garamond" w:hAnsi="Garamond"/>
          <w:sz w:val="24"/>
        </w:rPr>
      </w:pPr>
      <w:r>
        <w:rPr>
          <w:rFonts w:ascii="Garamond" w:hAnsi="Garamond"/>
          <w:sz w:val="24"/>
        </w:rPr>
        <w:t>1)</w:t>
      </w:r>
      <w:r>
        <w:rPr>
          <w:rFonts w:ascii="Garamond" w:hAnsi="Garamond"/>
          <w:sz w:val="24"/>
        </w:rPr>
        <w:tab/>
      </w:r>
      <w:r>
        <w:rPr>
          <w:rFonts w:ascii="Garamond" w:hAnsi="Garamond"/>
          <w:sz w:val="24"/>
          <w:u w:val="single"/>
        </w:rPr>
        <w:t>Tangibility</w:t>
      </w:r>
      <w:r>
        <w:rPr>
          <w:rFonts w:ascii="Garamond" w:hAnsi="Garamond"/>
          <w:sz w:val="24"/>
        </w:rPr>
        <w:t xml:space="preserve"> - unlike physical goods, services cannot be seen, tasted, felt, heard, or smelled before they are bought; </w:t>
      </w:r>
    </w:p>
    <w:p w:rsidR="004C344E" w:rsidRDefault="004C344E">
      <w:pPr>
        <w:spacing w:before="120"/>
        <w:ind w:left="1440" w:hanging="720"/>
        <w:rPr>
          <w:rFonts w:ascii="Garamond" w:hAnsi="Garamond"/>
          <w:sz w:val="24"/>
        </w:rPr>
      </w:pPr>
      <w:r>
        <w:rPr>
          <w:rFonts w:ascii="Garamond" w:hAnsi="Garamond"/>
          <w:sz w:val="24"/>
        </w:rPr>
        <w:t>2)</w:t>
      </w:r>
      <w:r>
        <w:rPr>
          <w:rFonts w:ascii="Garamond" w:hAnsi="Garamond"/>
          <w:sz w:val="24"/>
        </w:rPr>
        <w:tab/>
      </w:r>
      <w:proofErr w:type="spellStart"/>
      <w:r>
        <w:rPr>
          <w:rFonts w:ascii="Garamond" w:hAnsi="Garamond"/>
          <w:sz w:val="24"/>
          <w:u w:val="single"/>
        </w:rPr>
        <w:t>Separability</w:t>
      </w:r>
      <w:proofErr w:type="spellEnd"/>
      <w:r>
        <w:rPr>
          <w:rFonts w:ascii="Garamond" w:hAnsi="Garamond"/>
          <w:sz w:val="24"/>
        </w:rPr>
        <w:t xml:space="preserve"> - unlike physical goods, services are typically produced and consumed simultaneously; </w:t>
      </w:r>
    </w:p>
    <w:p w:rsidR="004C344E" w:rsidRDefault="004C344E">
      <w:pPr>
        <w:spacing w:before="120"/>
        <w:ind w:left="1440" w:hanging="720"/>
        <w:rPr>
          <w:rFonts w:ascii="Garamond" w:hAnsi="Garamond"/>
          <w:sz w:val="24"/>
        </w:rPr>
      </w:pPr>
      <w:r>
        <w:rPr>
          <w:rFonts w:ascii="Garamond" w:hAnsi="Garamond"/>
          <w:sz w:val="24"/>
        </w:rPr>
        <w:t>3)</w:t>
      </w:r>
      <w:r>
        <w:rPr>
          <w:rFonts w:ascii="Garamond" w:hAnsi="Garamond"/>
          <w:sz w:val="24"/>
        </w:rPr>
        <w:tab/>
      </w:r>
      <w:r>
        <w:rPr>
          <w:rFonts w:ascii="Garamond" w:hAnsi="Garamond"/>
          <w:sz w:val="24"/>
          <w:u w:val="single"/>
        </w:rPr>
        <w:t>Variability</w:t>
      </w:r>
      <w:r>
        <w:rPr>
          <w:rFonts w:ascii="Garamond" w:hAnsi="Garamond"/>
          <w:sz w:val="24"/>
        </w:rPr>
        <w:t xml:space="preserve"> - unlike physical goods, services depend more on exactly who provides them and where they are provided;</w:t>
      </w:r>
    </w:p>
    <w:p w:rsidR="004C344E" w:rsidRDefault="004C344E">
      <w:pPr>
        <w:spacing w:before="120"/>
        <w:ind w:left="1440" w:hanging="720"/>
        <w:rPr>
          <w:rFonts w:ascii="Garamond" w:hAnsi="Garamond"/>
          <w:sz w:val="24"/>
        </w:rPr>
      </w:pPr>
      <w:r>
        <w:rPr>
          <w:rFonts w:ascii="Garamond" w:hAnsi="Garamond"/>
          <w:sz w:val="24"/>
        </w:rPr>
        <w:t>4)</w:t>
      </w:r>
      <w:r>
        <w:rPr>
          <w:rFonts w:ascii="Garamond" w:hAnsi="Garamond"/>
          <w:sz w:val="24"/>
        </w:rPr>
        <w:tab/>
      </w:r>
      <w:r>
        <w:rPr>
          <w:rFonts w:ascii="Garamond" w:hAnsi="Garamond"/>
          <w:sz w:val="24"/>
          <w:u w:val="single"/>
        </w:rPr>
        <w:t>Perishability</w:t>
      </w:r>
      <w:r>
        <w:rPr>
          <w:rFonts w:ascii="Garamond" w:hAnsi="Garamond"/>
          <w:sz w:val="24"/>
        </w:rPr>
        <w:t xml:space="preserve"> - unlike physical goods, services cannot be stored.</w:t>
      </w:r>
    </w:p>
    <w:p w:rsidR="004C344E" w:rsidRDefault="004C344E">
      <w:pPr>
        <w:rPr>
          <w:rFonts w:ascii="Garamond" w:hAnsi="Garamond"/>
          <w:sz w:val="24"/>
        </w:rPr>
      </w:pPr>
      <w:r>
        <w:rPr>
          <w:rFonts w:ascii="Garamond" w:hAnsi="Garamond"/>
          <w:sz w:val="24"/>
        </w:rPr>
        <w:tab/>
      </w:r>
    </w:p>
    <w:p w:rsidR="004C344E" w:rsidRDefault="004C344E">
      <w:pPr>
        <w:rPr>
          <w:rFonts w:ascii="Garamond" w:hAnsi="Garamond"/>
          <w:sz w:val="24"/>
        </w:rPr>
      </w:pPr>
      <w:r>
        <w:rPr>
          <w:rFonts w:ascii="Garamond" w:hAnsi="Garamond"/>
          <w:sz w:val="24"/>
        </w:rPr>
        <w:t>These four dimensions pose challenges to the marketing of services.  To overcome these potential marketing problems, service firms can take a number of actions.  For example, potential perishability problems can be addressed on the demand side by marketing actions such as differential pricing, the cultivation of non-peak demand, complementary services, and reservation systems.  Potential perishability problems can be addressed on the supply side by marketing actions such as part-time employee staffing, peak-time efficiency routines, increased consumer participation, shared services, and facilities for future expansion.</w:t>
      </w:r>
      <w:r>
        <w:rPr>
          <w:rStyle w:val="FootnoteReference"/>
          <w:rFonts w:ascii="Garamond" w:hAnsi="Garamond"/>
          <w:sz w:val="24"/>
        </w:rPr>
        <w:footnoteReference w:id="4"/>
      </w:r>
    </w:p>
    <w:p w:rsidR="004C344E" w:rsidRDefault="004C344E">
      <w:pPr>
        <w:spacing w:line="240" w:lineRule="atLeast"/>
        <w:jc w:val="center"/>
        <w:rPr>
          <w:rFonts w:ascii="Garamond" w:hAnsi="Garamond"/>
          <w:b/>
          <w:i/>
          <w:caps/>
          <w:sz w:val="24"/>
        </w:rPr>
      </w:pPr>
      <w:r>
        <w:rPr>
          <w:rFonts w:ascii="Garamond" w:hAnsi="Garamond"/>
          <w:sz w:val="24"/>
        </w:rPr>
        <w:br w:type="page"/>
      </w:r>
      <w:r w:rsidR="00BF4D80">
        <w:rPr>
          <w:rFonts w:ascii="Garamond" w:hAnsi="Garamond"/>
          <w:b/>
          <w:i/>
          <w:caps/>
          <w:sz w:val="24"/>
        </w:rPr>
        <w:lastRenderedPageBreak/>
        <w:t>branding brief 15-9</w:t>
      </w:r>
    </w:p>
    <w:p w:rsidR="004C344E" w:rsidRDefault="004C344E">
      <w:pPr>
        <w:spacing w:line="240" w:lineRule="atLeast"/>
        <w:jc w:val="center"/>
        <w:rPr>
          <w:rFonts w:ascii="Garamond" w:hAnsi="Garamond"/>
          <w:b/>
          <w:i/>
          <w:caps/>
          <w:sz w:val="24"/>
        </w:rPr>
      </w:pPr>
      <w:r>
        <w:rPr>
          <w:rFonts w:ascii="Garamond" w:hAnsi="Garamond"/>
          <w:b/>
          <w:i/>
          <w:caps/>
          <w:sz w:val="24"/>
        </w:rPr>
        <w:t>building corporate brand equity:</w:t>
      </w:r>
    </w:p>
    <w:p w:rsidR="004C344E" w:rsidRDefault="004C344E">
      <w:pPr>
        <w:spacing w:line="240" w:lineRule="atLeast"/>
        <w:jc w:val="center"/>
        <w:rPr>
          <w:rFonts w:ascii="Garamond" w:hAnsi="Garamond"/>
          <w:b/>
          <w:i/>
          <w:caps/>
          <w:sz w:val="24"/>
        </w:rPr>
      </w:pPr>
      <w:r>
        <w:rPr>
          <w:rFonts w:ascii="Garamond" w:hAnsi="Garamond"/>
          <w:b/>
          <w:i/>
          <w:caps/>
          <w:sz w:val="24"/>
        </w:rPr>
        <w:t>the csr challenge</w:t>
      </w:r>
    </w:p>
    <w:p w:rsidR="004C344E" w:rsidRDefault="004C344E">
      <w:pPr>
        <w:spacing w:line="240" w:lineRule="atLeast"/>
        <w:jc w:val="center"/>
        <w:rPr>
          <w:rFonts w:ascii="Garamond" w:hAnsi="Garamond"/>
          <w:caps/>
          <w:sz w:val="24"/>
        </w:rPr>
      </w:pPr>
    </w:p>
    <w:p w:rsidR="004C344E" w:rsidRDefault="004C344E">
      <w:pPr>
        <w:spacing w:line="240" w:lineRule="atLeast"/>
        <w:rPr>
          <w:rFonts w:ascii="Garamond" w:hAnsi="Garamond"/>
          <w:caps/>
          <w:sz w:val="24"/>
        </w:rPr>
      </w:pPr>
    </w:p>
    <w:p w:rsidR="004C344E" w:rsidRDefault="004C344E">
      <w:pPr>
        <w:spacing w:line="240" w:lineRule="atLeast"/>
        <w:rPr>
          <w:rFonts w:ascii="Garamond" w:hAnsi="Garamond"/>
          <w:sz w:val="24"/>
        </w:rPr>
      </w:pPr>
      <w:r>
        <w:rPr>
          <w:rFonts w:ascii="Garamond" w:hAnsi="Garamond"/>
          <w:sz w:val="24"/>
        </w:rPr>
        <w:t xml:space="preserve">The main branding challenge faced by CSR Limited is one faced by many expanding industrial firms:  How to create the proper brand hierarchy to reflect a vastly changed -- and still changing -- line of business.  CSR’s history in </w:t>
      </w:r>
      <w:smartTag w:uri="urn:schemas-microsoft-com:office:smarttags" w:element="place">
        <w:smartTag w:uri="urn:schemas-microsoft-com:office:smarttags" w:element="country-region">
          <w:r>
            <w:rPr>
              <w:rFonts w:ascii="Garamond" w:hAnsi="Garamond"/>
              <w:sz w:val="24"/>
            </w:rPr>
            <w:t>Australia</w:t>
          </w:r>
        </w:smartTag>
      </w:smartTag>
      <w:r>
        <w:rPr>
          <w:rFonts w:ascii="Garamond" w:hAnsi="Garamond"/>
          <w:sz w:val="24"/>
        </w:rPr>
        <w:t xml:space="preserve"> goes back decades.  The company was originally named Colonial Sugar Refinery and its early reputation was formed as a sugar company.  Through the years, the CSR brand became synonymous for sugar.  The company began to sell by-products of its sugar cane, and over the years, found </w:t>
      </w:r>
      <w:proofErr w:type="gramStart"/>
      <w:r>
        <w:rPr>
          <w:rFonts w:ascii="Garamond" w:hAnsi="Garamond"/>
          <w:sz w:val="24"/>
        </w:rPr>
        <w:t>itself</w:t>
      </w:r>
      <w:proofErr w:type="gramEnd"/>
      <w:r>
        <w:rPr>
          <w:rFonts w:ascii="Garamond" w:hAnsi="Garamond"/>
          <w:sz w:val="24"/>
        </w:rPr>
        <w:t xml:space="preserve"> moving outside the sugar business.  By the mid 1990’s, through product development and acquisition, CSR had become one of the Top 10 companies in </w:t>
      </w:r>
      <w:smartTag w:uri="urn:schemas-microsoft-com:office:smarttags" w:element="place">
        <w:smartTag w:uri="urn:schemas-microsoft-com:office:smarttags" w:element="country-region">
          <w:r>
            <w:rPr>
              <w:rFonts w:ascii="Garamond" w:hAnsi="Garamond"/>
              <w:sz w:val="24"/>
            </w:rPr>
            <w:t>Australia</w:t>
          </w:r>
        </w:smartTag>
      </w:smartTag>
      <w:r>
        <w:rPr>
          <w:rFonts w:ascii="Garamond" w:hAnsi="Garamond"/>
          <w:sz w:val="24"/>
        </w:rPr>
        <w:t>.  The vast majority of CSR’s business, however, was now in building and construction materials, including the following eight business units -- besides sugar -- which ranged in sales from $200 million to $1.5 billion:</w:t>
      </w:r>
    </w:p>
    <w:p w:rsidR="004C344E" w:rsidRDefault="004C344E">
      <w:pPr>
        <w:spacing w:line="240" w:lineRule="atLeast"/>
        <w:rPr>
          <w:rFonts w:ascii="Garamond" w:hAnsi="Garamond"/>
          <w:sz w:val="24"/>
        </w:rPr>
      </w:pPr>
    </w:p>
    <w:p w:rsidR="004C344E" w:rsidRDefault="004C344E">
      <w:pPr>
        <w:spacing w:line="240" w:lineRule="atLeast"/>
        <w:rPr>
          <w:rFonts w:ascii="Garamond" w:hAnsi="Garamond"/>
          <w:sz w:val="24"/>
        </w:rPr>
      </w:pPr>
      <w:r>
        <w:rPr>
          <w:rFonts w:ascii="Garamond" w:hAnsi="Garamond"/>
          <w:sz w:val="24"/>
        </w:rPr>
        <w:tab/>
        <w:t>1)</w:t>
      </w:r>
      <w:r>
        <w:rPr>
          <w:rFonts w:ascii="Garamond" w:hAnsi="Garamond"/>
          <w:sz w:val="24"/>
        </w:rPr>
        <w:tab/>
        <w:t xml:space="preserve">CSR </w:t>
      </w:r>
      <w:proofErr w:type="spellStart"/>
      <w:r>
        <w:rPr>
          <w:rFonts w:ascii="Garamond" w:hAnsi="Garamond"/>
          <w:sz w:val="24"/>
        </w:rPr>
        <w:t>Readymix</w:t>
      </w:r>
      <w:proofErr w:type="spellEnd"/>
      <w:r>
        <w:rPr>
          <w:rFonts w:ascii="Garamond" w:hAnsi="Garamond"/>
          <w:sz w:val="24"/>
        </w:rPr>
        <w:t xml:space="preserve"> pre-mixed concrete,</w:t>
      </w:r>
    </w:p>
    <w:p w:rsidR="004C344E" w:rsidRDefault="004C344E">
      <w:pPr>
        <w:spacing w:line="240" w:lineRule="atLeast"/>
        <w:rPr>
          <w:rFonts w:ascii="Garamond" w:hAnsi="Garamond"/>
          <w:sz w:val="24"/>
        </w:rPr>
      </w:pPr>
      <w:r>
        <w:rPr>
          <w:rFonts w:ascii="Garamond" w:hAnsi="Garamond"/>
          <w:sz w:val="24"/>
        </w:rPr>
        <w:tab/>
        <w:t>2)</w:t>
      </w:r>
      <w:r>
        <w:rPr>
          <w:rFonts w:ascii="Garamond" w:hAnsi="Garamond"/>
          <w:sz w:val="24"/>
        </w:rPr>
        <w:tab/>
        <w:t xml:space="preserve">CSR </w:t>
      </w:r>
      <w:proofErr w:type="spellStart"/>
      <w:r>
        <w:rPr>
          <w:rFonts w:ascii="Garamond" w:hAnsi="Garamond"/>
          <w:sz w:val="24"/>
        </w:rPr>
        <w:t>Gyprock</w:t>
      </w:r>
      <w:proofErr w:type="spellEnd"/>
      <w:r>
        <w:rPr>
          <w:rFonts w:ascii="Garamond" w:hAnsi="Garamond"/>
          <w:sz w:val="24"/>
        </w:rPr>
        <w:t xml:space="preserve"> </w:t>
      </w:r>
      <w:proofErr w:type="gramStart"/>
      <w:r>
        <w:rPr>
          <w:rFonts w:ascii="Garamond" w:hAnsi="Garamond"/>
          <w:sz w:val="24"/>
        </w:rPr>
        <w:t>plaster</w:t>
      </w:r>
      <w:proofErr w:type="gramEnd"/>
      <w:r>
        <w:rPr>
          <w:rFonts w:ascii="Garamond" w:hAnsi="Garamond"/>
          <w:sz w:val="24"/>
        </w:rPr>
        <w:t xml:space="preserve"> boards and dry wall,</w:t>
      </w:r>
    </w:p>
    <w:p w:rsidR="004C344E" w:rsidRDefault="004C344E">
      <w:pPr>
        <w:spacing w:line="240" w:lineRule="atLeast"/>
        <w:rPr>
          <w:rFonts w:ascii="Garamond" w:hAnsi="Garamond"/>
          <w:sz w:val="24"/>
        </w:rPr>
      </w:pPr>
      <w:r>
        <w:rPr>
          <w:rFonts w:ascii="Garamond" w:hAnsi="Garamond"/>
          <w:sz w:val="24"/>
        </w:rPr>
        <w:tab/>
        <w:t>3)</w:t>
      </w:r>
      <w:r>
        <w:rPr>
          <w:rFonts w:ascii="Garamond" w:hAnsi="Garamond"/>
          <w:sz w:val="24"/>
        </w:rPr>
        <w:tab/>
        <w:t xml:space="preserve">CSR </w:t>
      </w:r>
      <w:proofErr w:type="spellStart"/>
      <w:r>
        <w:rPr>
          <w:rFonts w:ascii="Garamond" w:hAnsi="Garamond"/>
          <w:sz w:val="24"/>
        </w:rPr>
        <w:t>Hebel</w:t>
      </w:r>
      <w:proofErr w:type="spellEnd"/>
      <w:r>
        <w:rPr>
          <w:rFonts w:ascii="Garamond" w:hAnsi="Garamond"/>
          <w:sz w:val="24"/>
        </w:rPr>
        <w:t xml:space="preserve"> lightweight aerated concrete blocks and reinforced</w:t>
      </w:r>
    </w:p>
    <w:p w:rsidR="004C344E" w:rsidRDefault="004C344E">
      <w:pPr>
        <w:spacing w:line="240" w:lineRule="atLeast"/>
        <w:rPr>
          <w:rFonts w:ascii="Garamond" w:hAnsi="Garamond"/>
          <w:sz w:val="24"/>
        </w:rPr>
      </w:pPr>
      <w:r>
        <w:rPr>
          <w:rFonts w:ascii="Garamond" w:hAnsi="Garamond"/>
          <w:sz w:val="24"/>
        </w:rPr>
        <w:tab/>
      </w:r>
      <w:r>
        <w:rPr>
          <w:rFonts w:ascii="Garamond" w:hAnsi="Garamond"/>
          <w:sz w:val="24"/>
        </w:rPr>
        <w:tab/>
      </w:r>
      <w:proofErr w:type="gramStart"/>
      <w:r>
        <w:rPr>
          <w:rFonts w:ascii="Garamond" w:hAnsi="Garamond"/>
          <w:sz w:val="24"/>
        </w:rPr>
        <w:t>panels</w:t>
      </w:r>
      <w:proofErr w:type="gramEnd"/>
      <w:r>
        <w:rPr>
          <w:rFonts w:ascii="Garamond" w:hAnsi="Garamond"/>
          <w:sz w:val="24"/>
        </w:rPr>
        <w:t>,</w:t>
      </w:r>
    </w:p>
    <w:p w:rsidR="004C344E" w:rsidRDefault="004C344E">
      <w:pPr>
        <w:spacing w:line="240" w:lineRule="atLeast"/>
        <w:rPr>
          <w:rFonts w:ascii="Garamond" w:hAnsi="Garamond"/>
          <w:sz w:val="24"/>
        </w:rPr>
      </w:pPr>
      <w:r>
        <w:rPr>
          <w:rFonts w:ascii="Garamond" w:hAnsi="Garamond"/>
          <w:sz w:val="24"/>
        </w:rPr>
        <w:tab/>
        <w:t>4)</w:t>
      </w:r>
      <w:r>
        <w:rPr>
          <w:rFonts w:ascii="Garamond" w:hAnsi="Garamond"/>
          <w:sz w:val="24"/>
        </w:rPr>
        <w:tab/>
      </w:r>
      <w:proofErr w:type="spellStart"/>
      <w:r>
        <w:rPr>
          <w:rFonts w:ascii="Garamond" w:hAnsi="Garamond"/>
          <w:sz w:val="24"/>
        </w:rPr>
        <w:t>Monier</w:t>
      </w:r>
      <w:proofErr w:type="spellEnd"/>
      <w:r>
        <w:rPr>
          <w:rFonts w:ascii="Garamond" w:hAnsi="Garamond"/>
          <w:sz w:val="24"/>
        </w:rPr>
        <w:t xml:space="preserve"> clay and concrete roof tiles,</w:t>
      </w:r>
    </w:p>
    <w:p w:rsidR="004C344E" w:rsidRDefault="004C344E">
      <w:pPr>
        <w:spacing w:line="240" w:lineRule="atLeast"/>
        <w:rPr>
          <w:rFonts w:ascii="Garamond" w:hAnsi="Garamond"/>
          <w:sz w:val="24"/>
        </w:rPr>
      </w:pPr>
      <w:r>
        <w:rPr>
          <w:rFonts w:ascii="Garamond" w:hAnsi="Garamond"/>
          <w:sz w:val="24"/>
        </w:rPr>
        <w:tab/>
        <w:t>5)</w:t>
      </w:r>
      <w:r>
        <w:rPr>
          <w:rFonts w:ascii="Garamond" w:hAnsi="Garamond"/>
          <w:sz w:val="24"/>
        </w:rPr>
        <w:tab/>
        <w:t>PGH bricks,</w:t>
      </w:r>
    </w:p>
    <w:p w:rsidR="004C344E" w:rsidRDefault="004C344E">
      <w:pPr>
        <w:spacing w:line="240" w:lineRule="atLeast"/>
        <w:rPr>
          <w:rFonts w:ascii="Garamond" w:hAnsi="Garamond"/>
          <w:sz w:val="24"/>
        </w:rPr>
      </w:pPr>
      <w:r>
        <w:rPr>
          <w:rFonts w:ascii="Garamond" w:hAnsi="Garamond"/>
          <w:sz w:val="24"/>
        </w:rPr>
        <w:tab/>
        <w:t>6)</w:t>
      </w:r>
      <w:r>
        <w:rPr>
          <w:rFonts w:ascii="Garamond" w:hAnsi="Garamond"/>
          <w:sz w:val="24"/>
        </w:rPr>
        <w:tab/>
      </w:r>
      <w:smartTag w:uri="urn:schemas-microsoft-com:office:smarttags" w:element="place">
        <w:r>
          <w:rPr>
            <w:rFonts w:ascii="Garamond" w:hAnsi="Garamond"/>
            <w:sz w:val="24"/>
          </w:rPr>
          <w:t>Bradford</w:t>
        </w:r>
      </w:smartTag>
      <w:r>
        <w:rPr>
          <w:rFonts w:ascii="Garamond" w:hAnsi="Garamond"/>
          <w:sz w:val="24"/>
        </w:rPr>
        <w:t xml:space="preserve"> insulation</w:t>
      </w:r>
    </w:p>
    <w:p w:rsidR="004C344E" w:rsidRDefault="004C344E">
      <w:pPr>
        <w:spacing w:line="240" w:lineRule="atLeast"/>
        <w:rPr>
          <w:rFonts w:ascii="Garamond" w:hAnsi="Garamond"/>
          <w:sz w:val="24"/>
        </w:rPr>
      </w:pPr>
      <w:r>
        <w:rPr>
          <w:rFonts w:ascii="Garamond" w:hAnsi="Garamond"/>
          <w:sz w:val="24"/>
        </w:rPr>
        <w:tab/>
        <w:t>7)</w:t>
      </w:r>
      <w:r>
        <w:rPr>
          <w:rFonts w:ascii="Garamond" w:hAnsi="Garamond"/>
          <w:sz w:val="24"/>
        </w:rPr>
        <w:tab/>
        <w:t>CSR Softwoods</w:t>
      </w:r>
    </w:p>
    <w:p w:rsidR="004C344E" w:rsidRDefault="004C344E">
      <w:pPr>
        <w:spacing w:line="240" w:lineRule="atLeast"/>
        <w:rPr>
          <w:rFonts w:ascii="Garamond" w:hAnsi="Garamond"/>
          <w:sz w:val="24"/>
        </w:rPr>
      </w:pPr>
      <w:r>
        <w:rPr>
          <w:rFonts w:ascii="Garamond" w:hAnsi="Garamond"/>
          <w:sz w:val="24"/>
        </w:rPr>
        <w:tab/>
        <w:t>8)</w:t>
      </w:r>
      <w:r>
        <w:rPr>
          <w:rFonts w:ascii="Garamond" w:hAnsi="Garamond"/>
          <w:sz w:val="24"/>
        </w:rPr>
        <w:tab/>
        <w:t>CSR Wood panels</w:t>
      </w:r>
    </w:p>
    <w:p w:rsidR="004C344E" w:rsidRDefault="004C344E">
      <w:pPr>
        <w:spacing w:line="240" w:lineRule="atLeast"/>
        <w:rPr>
          <w:rFonts w:ascii="Garamond" w:hAnsi="Garamond"/>
          <w:sz w:val="24"/>
        </w:rPr>
      </w:pPr>
    </w:p>
    <w:p w:rsidR="004C344E" w:rsidRDefault="004C344E">
      <w:pPr>
        <w:spacing w:line="240" w:lineRule="atLeast"/>
        <w:rPr>
          <w:rFonts w:ascii="Garamond" w:hAnsi="Garamond"/>
          <w:sz w:val="24"/>
        </w:rPr>
      </w:pPr>
      <w:r>
        <w:rPr>
          <w:rFonts w:ascii="Garamond" w:hAnsi="Garamond"/>
          <w:sz w:val="24"/>
        </w:rPr>
        <w:t>CSR is faced with a number of branding and marketing challenges.  For example, how should they best exploit brand synergies?  They sell virtually all the “ingredients” to construct a house or commercial building.  How should they package their different brands so that the “whole is greater than the sum of the parts?”  Along these lines, CSR has developed “</w:t>
      </w:r>
      <w:proofErr w:type="spellStart"/>
      <w:r>
        <w:rPr>
          <w:rFonts w:ascii="Garamond" w:hAnsi="Garamond"/>
          <w:sz w:val="24"/>
        </w:rPr>
        <w:t>Homescape</w:t>
      </w:r>
      <w:proofErr w:type="spellEnd"/>
      <w:r>
        <w:rPr>
          <w:rFonts w:ascii="Garamond" w:hAnsi="Garamond"/>
          <w:sz w:val="24"/>
        </w:rPr>
        <w:t xml:space="preserve"> Selection </w:t>
      </w:r>
      <w:proofErr w:type="spellStart"/>
      <w:r>
        <w:rPr>
          <w:rFonts w:ascii="Garamond" w:hAnsi="Garamond"/>
          <w:sz w:val="24"/>
        </w:rPr>
        <w:t>Centres</w:t>
      </w:r>
      <w:proofErr w:type="spellEnd"/>
      <w:r>
        <w:rPr>
          <w:rFonts w:ascii="Garamond" w:hAnsi="Garamond"/>
          <w:sz w:val="24"/>
        </w:rPr>
        <w:t xml:space="preserve">” to allow consumers 1-stop shopping.  </w:t>
      </w:r>
      <w:proofErr w:type="spellStart"/>
      <w:r>
        <w:rPr>
          <w:rFonts w:ascii="Garamond" w:hAnsi="Garamond"/>
          <w:sz w:val="24"/>
        </w:rPr>
        <w:t>Homescape</w:t>
      </w:r>
      <w:proofErr w:type="spellEnd"/>
      <w:r>
        <w:rPr>
          <w:rFonts w:ascii="Garamond" w:hAnsi="Garamond"/>
          <w:sz w:val="24"/>
        </w:rPr>
        <w:t xml:space="preserve"> </w:t>
      </w:r>
      <w:proofErr w:type="spellStart"/>
      <w:r>
        <w:rPr>
          <w:rFonts w:ascii="Garamond" w:hAnsi="Garamond"/>
          <w:sz w:val="24"/>
        </w:rPr>
        <w:t>centres</w:t>
      </w:r>
      <w:proofErr w:type="spellEnd"/>
      <w:r>
        <w:rPr>
          <w:rFonts w:ascii="Garamond" w:hAnsi="Garamond"/>
          <w:sz w:val="24"/>
        </w:rPr>
        <w:t xml:space="preserve"> were seen as a means of increasing consumer confidence in their choice of building supplies and materials by allowing them to see the full range of offerings.  How far should CSR push such a concept?  Should they get involved in the actual installation of these products?  How should they deal with their intermediaries, e.g., builders and contractors?</w:t>
      </w:r>
    </w:p>
    <w:p w:rsidR="004C344E" w:rsidRDefault="004C344E">
      <w:pPr>
        <w:spacing w:line="240" w:lineRule="atLeast"/>
        <w:rPr>
          <w:rFonts w:ascii="Garamond" w:hAnsi="Garamond"/>
          <w:sz w:val="24"/>
        </w:rPr>
      </w:pPr>
    </w:p>
    <w:p w:rsidR="004C344E" w:rsidRDefault="004C344E">
      <w:pPr>
        <w:spacing w:line="240" w:lineRule="atLeast"/>
        <w:rPr>
          <w:rFonts w:ascii="Garamond" w:hAnsi="Garamond"/>
          <w:sz w:val="24"/>
        </w:rPr>
      </w:pPr>
      <w:r>
        <w:rPr>
          <w:rFonts w:ascii="Garamond" w:hAnsi="Garamond"/>
          <w:sz w:val="24"/>
        </w:rPr>
        <w:t xml:space="preserve">Second, and relatedly, should a brand umbrella be placed over </w:t>
      </w:r>
      <w:proofErr w:type="gramStart"/>
      <w:r>
        <w:rPr>
          <w:rFonts w:ascii="Garamond" w:hAnsi="Garamond"/>
          <w:sz w:val="24"/>
        </w:rPr>
        <w:t>these different business</w:t>
      </w:r>
      <w:proofErr w:type="gramEnd"/>
      <w:r>
        <w:rPr>
          <w:rFonts w:ascii="Garamond" w:hAnsi="Garamond"/>
          <w:sz w:val="24"/>
        </w:rPr>
        <w:t xml:space="preserve">?  A circular red logo was developed that placed the CSR name in the middle surrounded by the slogan, “Building in Quality” along the outside border.  The logo was placed alongside all the different brands.  Was this sufficient?  Did this create an adequate </w:t>
      </w:r>
      <w:proofErr w:type="gramStart"/>
      <w:r>
        <w:rPr>
          <w:rFonts w:ascii="Garamond" w:hAnsi="Garamond"/>
          <w:sz w:val="24"/>
        </w:rPr>
        <w:t>connection.</w:t>
      </w:r>
      <w:proofErr w:type="gramEnd"/>
      <w:r>
        <w:rPr>
          <w:rFonts w:ascii="Garamond" w:hAnsi="Garamond"/>
          <w:sz w:val="24"/>
        </w:rPr>
        <w:t xml:space="preserve">  To many Australians, CSR still meant sugar -- a stark contrast from building supplies and material.  Should the sugar company be spun off and another brand introduced to encompass the other, more similar products?  Alternatively, should a strong sub-brand be introduced under the CSR name that accomplished a similar thing?</w:t>
      </w:r>
    </w:p>
    <w:p w:rsidR="004C344E" w:rsidRDefault="004C344E">
      <w:pPr>
        <w:spacing w:line="240" w:lineRule="atLeast"/>
        <w:rPr>
          <w:rFonts w:ascii="Garamond" w:hAnsi="Garamond"/>
          <w:sz w:val="24"/>
        </w:rPr>
      </w:pPr>
    </w:p>
    <w:p w:rsidR="004C344E" w:rsidRDefault="004C344E">
      <w:pPr>
        <w:tabs>
          <w:tab w:val="left" w:pos="360"/>
        </w:tabs>
        <w:rPr>
          <w:rFonts w:ascii="Garamond" w:hAnsi="Garamond"/>
          <w:sz w:val="24"/>
        </w:rPr>
      </w:pPr>
      <w:r>
        <w:rPr>
          <w:rFonts w:ascii="Garamond" w:hAnsi="Garamond"/>
          <w:sz w:val="24"/>
        </w:rPr>
        <w:lastRenderedPageBreak/>
        <w:t>Thus, CSR faces some fundamental branding challenges that will affect their corporate brand equity as well as the equity of the individual products they sell.  Their decisions in these different areas will go a long way in determining their success in the coming years.</w:t>
      </w:r>
    </w:p>
    <w:p w:rsidR="004C344E" w:rsidRDefault="004C344E">
      <w:pPr>
        <w:tabs>
          <w:tab w:val="left" w:pos="360"/>
        </w:tabs>
        <w:rPr>
          <w:rFonts w:ascii="Garamond" w:hAnsi="Garamond"/>
        </w:rPr>
      </w:pPr>
    </w:p>
    <w:p w:rsidR="004C344E" w:rsidRDefault="004C344E">
      <w:pPr>
        <w:tabs>
          <w:tab w:val="left" w:pos="360"/>
        </w:tabs>
        <w:rPr>
          <w:rFonts w:ascii="Times New Roman" w:hAnsi="Times New Roman"/>
          <w:sz w:val="24"/>
        </w:rPr>
      </w:pPr>
    </w:p>
    <w:p w:rsidR="004C344E" w:rsidRDefault="004C344E">
      <w:pPr>
        <w:rPr>
          <w:rFonts w:ascii="Garamond" w:hAnsi="Garamond"/>
          <w:sz w:val="24"/>
        </w:rPr>
      </w:pPr>
    </w:p>
    <w:p w:rsidR="004C344E" w:rsidRDefault="004C344E">
      <w:pPr>
        <w:tabs>
          <w:tab w:val="left" w:pos="360"/>
        </w:tabs>
        <w:rPr>
          <w:rFonts w:ascii="Times New Roman" w:hAnsi="Times New Roman"/>
          <w:sz w:val="24"/>
        </w:rPr>
      </w:pPr>
    </w:p>
    <w:sectPr w:rsidR="004C344E" w:rsidSect="00D04857">
      <w:headerReference w:type="even" r:id="rId8"/>
      <w:footerReference w:type="even" r:id="rId9"/>
      <w:footerReference w:type="default" r:id="rId10"/>
      <w:pgSz w:w="12240" w:h="15840"/>
      <w:pgMar w:top="1440" w:right="1800" w:bottom="1440" w:left="1800" w:header="720" w:footer="720" w:gutter="0"/>
      <w:pgNumType w:start="7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6769" w:rsidRDefault="00976769">
      <w:r>
        <w:separator/>
      </w:r>
    </w:p>
  </w:endnote>
  <w:endnote w:type="continuationSeparator" w:id="0">
    <w:p w:rsidR="00976769" w:rsidRDefault="00976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notTrueType/>
    <w:pitch w:val="variable"/>
    <w:sig w:usb0="00000003" w:usb1="00000000" w:usb2="00000000" w:usb3="00000000" w:csb0="00000001" w:csb1="00000000"/>
  </w:font>
  <w:font w:name="Roman 10cpi">
    <w:panose1 w:val="00000000000000000000"/>
    <w:charset w:val="00"/>
    <w:family w:val="moder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D80" w:rsidRDefault="00BF4D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F4D80" w:rsidRDefault="00BF4D8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D80" w:rsidRDefault="00BF4D80">
    <w:pPr>
      <w:pStyle w:val="Footer"/>
      <w:framePr w:wrap="around" w:vAnchor="text" w:hAnchor="margin" w:xAlign="center" w:y="1"/>
      <w:rPr>
        <w:rStyle w:val="PageNumber"/>
        <w:rFonts w:ascii="Times New Roman" w:hAnsi="Times New Roman"/>
        <w:sz w:val="24"/>
      </w:rPr>
    </w:pPr>
    <w:r>
      <w:rPr>
        <w:rStyle w:val="PageNumber"/>
        <w:rFonts w:ascii="Times New Roman" w:hAnsi="Times New Roman"/>
        <w:sz w:val="24"/>
      </w:rPr>
      <w:fldChar w:fldCharType="begin"/>
    </w:r>
    <w:r>
      <w:rPr>
        <w:rStyle w:val="PageNumber"/>
        <w:rFonts w:ascii="Times New Roman" w:hAnsi="Times New Roman"/>
        <w:sz w:val="24"/>
      </w:rPr>
      <w:instrText xml:space="preserve">PAGE  </w:instrText>
    </w:r>
    <w:r>
      <w:rPr>
        <w:rStyle w:val="PageNumber"/>
        <w:rFonts w:ascii="Times New Roman" w:hAnsi="Times New Roman"/>
        <w:sz w:val="24"/>
      </w:rPr>
      <w:fldChar w:fldCharType="separate"/>
    </w:r>
    <w:r w:rsidR="006838D9">
      <w:rPr>
        <w:rStyle w:val="PageNumber"/>
        <w:rFonts w:ascii="Times New Roman" w:hAnsi="Times New Roman"/>
        <w:noProof/>
        <w:sz w:val="24"/>
      </w:rPr>
      <w:t>79</w:t>
    </w:r>
    <w:r>
      <w:rPr>
        <w:rStyle w:val="PageNumber"/>
        <w:rFonts w:ascii="Times New Roman" w:hAnsi="Times New Roman"/>
        <w:sz w:val="24"/>
      </w:rPr>
      <w:fldChar w:fldCharType="end"/>
    </w:r>
  </w:p>
  <w:p w:rsidR="00BF4D80" w:rsidRDefault="00BF4D80">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6769" w:rsidRDefault="00976769">
      <w:r>
        <w:separator/>
      </w:r>
    </w:p>
  </w:footnote>
  <w:footnote w:type="continuationSeparator" w:id="0">
    <w:p w:rsidR="00976769" w:rsidRDefault="00976769">
      <w:r>
        <w:continuationSeparator/>
      </w:r>
    </w:p>
  </w:footnote>
  <w:footnote w:id="1">
    <w:p w:rsidR="00BF4D80" w:rsidRDefault="00BF4D80">
      <w:pPr>
        <w:pStyle w:val="FootnoteText"/>
      </w:pPr>
      <w:r>
        <w:rPr>
          <w:rStyle w:val="FootnoteReference"/>
          <w:rFonts w:ascii="Garamond" w:hAnsi="Garamond"/>
        </w:rPr>
        <w:footnoteRef/>
      </w:r>
      <w:r>
        <w:rPr>
          <w:rFonts w:ascii="Garamond" w:hAnsi="Garamond"/>
        </w:rPr>
        <w:t xml:space="preserve"> Philip Kotler, </w:t>
      </w:r>
      <w:r>
        <w:rPr>
          <w:rFonts w:ascii="Garamond" w:hAnsi="Garamond"/>
          <w:u w:val="single"/>
        </w:rPr>
        <w:t>Marketing Management: Analysis, Planning, and Control</w:t>
      </w:r>
      <w:r>
        <w:rPr>
          <w:rFonts w:ascii="Garamond" w:hAnsi="Garamond"/>
        </w:rPr>
        <w:t xml:space="preserve">, 8th ed., 1994, </w:t>
      </w:r>
      <w:proofErr w:type="spellStart"/>
      <w:smartTag w:uri="urn:schemas-microsoft-com:office:smarttags" w:element="place">
        <w:smartTag w:uri="urn:schemas-microsoft-com:office:smarttags" w:element="City">
          <w:r>
            <w:rPr>
              <w:rFonts w:ascii="Garamond" w:hAnsi="Garamond"/>
            </w:rPr>
            <w:t>Englewoods</w:t>
          </w:r>
          <w:proofErr w:type="spellEnd"/>
          <w:r>
            <w:rPr>
              <w:rFonts w:ascii="Garamond" w:hAnsi="Garamond"/>
            </w:rPr>
            <w:t xml:space="preserve"> Cliff</w:t>
          </w:r>
        </w:smartTag>
        <w:r>
          <w:rPr>
            <w:rFonts w:ascii="Garamond" w:hAnsi="Garamond"/>
          </w:rPr>
          <w:t xml:space="preserve">, </w:t>
        </w:r>
        <w:smartTag w:uri="urn:schemas-microsoft-com:office:smarttags" w:element="State">
          <w:r>
            <w:rPr>
              <w:rFonts w:ascii="Garamond" w:hAnsi="Garamond"/>
            </w:rPr>
            <w:t>NJ</w:t>
          </w:r>
        </w:smartTag>
      </w:smartTag>
      <w:r>
        <w:rPr>
          <w:rFonts w:ascii="Garamond" w:hAnsi="Garamond"/>
        </w:rPr>
        <w:t>: Prentice-Hall.</w:t>
      </w:r>
    </w:p>
  </w:footnote>
  <w:footnote w:id="2">
    <w:p w:rsidR="00BF4D80" w:rsidRDefault="00BF4D80">
      <w:pPr>
        <w:pStyle w:val="FootnoteText"/>
      </w:pPr>
      <w:r>
        <w:rPr>
          <w:rStyle w:val="FootnoteReference"/>
          <w:rFonts w:ascii="Garamond" w:hAnsi="Garamond"/>
        </w:rPr>
        <w:footnoteRef/>
      </w:r>
      <w:r>
        <w:rPr>
          <w:rFonts w:ascii="Garamond" w:hAnsi="Garamond"/>
        </w:rPr>
        <w:t xml:space="preserve"> Philip Kotler, </w:t>
      </w:r>
      <w:r>
        <w:rPr>
          <w:rFonts w:ascii="Garamond" w:hAnsi="Garamond"/>
          <w:u w:val="single"/>
        </w:rPr>
        <w:t>Marketing Management: Analysis, Planning, and Control</w:t>
      </w:r>
      <w:r>
        <w:rPr>
          <w:rFonts w:ascii="Garamond" w:hAnsi="Garamond"/>
        </w:rPr>
        <w:t xml:space="preserve">, 8th ed., 1994, </w:t>
      </w:r>
      <w:proofErr w:type="spellStart"/>
      <w:smartTag w:uri="urn:schemas-microsoft-com:office:smarttags" w:element="place">
        <w:smartTag w:uri="urn:schemas-microsoft-com:office:smarttags" w:element="City">
          <w:r>
            <w:rPr>
              <w:rFonts w:ascii="Garamond" w:hAnsi="Garamond"/>
            </w:rPr>
            <w:t>Englewoods</w:t>
          </w:r>
          <w:proofErr w:type="spellEnd"/>
          <w:r>
            <w:rPr>
              <w:rFonts w:ascii="Garamond" w:hAnsi="Garamond"/>
            </w:rPr>
            <w:t xml:space="preserve"> Cliff</w:t>
          </w:r>
        </w:smartTag>
        <w:r>
          <w:rPr>
            <w:rFonts w:ascii="Garamond" w:hAnsi="Garamond"/>
          </w:rPr>
          <w:t xml:space="preserve">, </w:t>
        </w:r>
        <w:smartTag w:uri="urn:schemas-microsoft-com:office:smarttags" w:element="State">
          <w:r>
            <w:rPr>
              <w:rFonts w:ascii="Garamond" w:hAnsi="Garamond"/>
            </w:rPr>
            <w:t>NJ</w:t>
          </w:r>
        </w:smartTag>
      </w:smartTag>
      <w:r>
        <w:rPr>
          <w:rFonts w:ascii="Garamond" w:hAnsi="Garamond"/>
        </w:rPr>
        <w:t>: Prentice-Hall.</w:t>
      </w:r>
    </w:p>
  </w:footnote>
  <w:footnote w:id="3">
    <w:p w:rsidR="00BF4D80" w:rsidRDefault="00BF4D80">
      <w:pPr>
        <w:pStyle w:val="FootnoteText"/>
      </w:pPr>
      <w:r>
        <w:rPr>
          <w:rStyle w:val="FootnoteReference"/>
          <w:rFonts w:ascii="Garamond" w:hAnsi="Garamond"/>
        </w:rPr>
        <w:footnoteRef/>
      </w:r>
      <w:r>
        <w:rPr>
          <w:rFonts w:ascii="Garamond" w:hAnsi="Garamond"/>
        </w:rPr>
        <w:t xml:space="preserve"> Philip Kotler, </w:t>
      </w:r>
      <w:r>
        <w:rPr>
          <w:rFonts w:ascii="Garamond" w:hAnsi="Garamond"/>
          <w:u w:val="single"/>
        </w:rPr>
        <w:t>Marketing Management: Analysis, Planning, and Control</w:t>
      </w:r>
      <w:r>
        <w:rPr>
          <w:rFonts w:ascii="Garamond" w:hAnsi="Garamond"/>
        </w:rPr>
        <w:t xml:space="preserve">, 8th ed., 1994, </w:t>
      </w:r>
      <w:proofErr w:type="spellStart"/>
      <w:smartTag w:uri="urn:schemas-microsoft-com:office:smarttags" w:element="place">
        <w:smartTag w:uri="urn:schemas-microsoft-com:office:smarttags" w:element="City">
          <w:r>
            <w:rPr>
              <w:rFonts w:ascii="Garamond" w:hAnsi="Garamond"/>
            </w:rPr>
            <w:t>Englewoods</w:t>
          </w:r>
          <w:proofErr w:type="spellEnd"/>
          <w:r>
            <w:rPr>
              <w:rFonts w:ascii="Garamond" w:hAnsi="Garamond"/>
            </w:rPr>
            <w:t xml:space="preserve"> Cliff</w:t>
          </w:r>
        </w:smartTag>
        <w:r>
          <w:rPr>
            <w:rFonts w:ascii="Garamond" w:hAnsi="Garamond"/>
          </w:rPr>
          <w:t xml:space="preserve">, </w:t>
        </w:r>
        <w:smartTag w:uri="urn:schemas-microsoft-com:office:smarttags" w:element="State">
          <w:r>
            <w:rPr>
              <w:rFonts w:ascii="Garamond" w:hAnsi="Garamond"/>
            </w:rPr>
            <w:t>NJ</w:t>
          </w:r>
        </w:smartTag>
      </w:smartTag>
      <w:r>
        <w:rPr>
          <w:rFonts w:ascii="Garamond" w:hAnsi="Garamond"/>
        </w:rPr>
        <w:t>: Prentice-Hall.</w:t>
      </w:r>
    </w:p>
  </w:footnote>
  <w:footnote w:id="4">
    <w:p w:rsidR="00BF4D80" w:rsidRDefault="00BF4D80">
      <w:pPr>
        <w:pStyle w:val="FootnoteText"/>
      </w:pPr>
      <w:r>
        <w:rPr>
          <w:rStyle w:val="FootnoteReference"/>
          <w:rFonts w:ascii="Garamond" w:hAnsi="Garamond"/>
        </w:rPr>
        <w:footnoteRef/>
      </w:r>
      <w:r>
        <w:rPr>
          <w:rFonts w:ascii="Garamond" w:hAnsi="Garamond"/>
        </w:rPr>
        <w:t xml:space="preserve"> Philip Kotler, </w:t>
      </w:r>
      <w:r>
        <w:rPr>
          <w:rFonts w:ascii="Garamond" w:hAnsi="Garamond"/>
          <w:u w:val="single"/>
        </w:rPr>
        <w:t>Marketing Management: Analysis, Planning, and Control</w:t>
      </w:r>
      <w:r>
        <w:rPr>
          <w:rFonts w:ascii="Garamond" w:hAnsi="Garamond"/>
        </w:rPr>
        <w:t xml:space="preserve">, 8th ed., 1994, </w:t>
      </w:r>
      <w:proofErr w:type="spellStart"/>
      <w:smartTag w:uri="urn:schemas-microsoft-com:office:smarttags" w:element="place">
        <w:smartTag w:uri="urn:schemas-microsoft-com:office:smarttags" w:element="City">
          <w:r>
            <w:rPr>
              <w:rFonts w:ascii="Garamond" w:hAnsi="Garamond"/>
            </w:rPr>
            <w:t>Englewoods</w:t>
          </w:r>
          <w:proofErr w:type="spellEnd"/>
          <w:r>
            <w:rPr>
              <w:rFonts w:ascii="Garamond" w:hAnsi="Garamond"/>
            </w:rPr>
            <w:t xml:space="preserve"> Cliff</w:t>
          </w:r>
        </w:smartTag>
        <w:r>
          <w:rPr>
            <w:rFonts w:ascii="Garamond" w:hAnsi="Garamond"/>
          </w:rPr>
          <w:t xml:space="preserve">, </w:t>
        </w:r>
        <w:smartTag w:uri="urn:schemas-microsoft-com:office:smarttags" w:element="State">
          <w:r>
            <w:rPr>
              <w:rFonts w:ascii="Garamond" w:hAnsi="Garamond"/>
            </w:rPr>
            <w:t>NJ</w:t>
          </w:r>
        </w:smartTag>
      </w:smartTag>
      <w:r>
        <w:rPr>
          <w:rFonts w:ascii="Garamond" w:hAnsi="Garamond"/>
        </w:rPr>
        <w:t>: Prentice-Hall.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D80" w:rsidRDefault="00BF4D8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F4D80" w:rsidRDefault="00BF4D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9509C"/>
    <w:multiLevelType w:val="hybridMultilevel"/>
    <w:tmpl w:val="8C74AF5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135E277D"/>
    <w:multiLevelType w:val="hybridMultilevel"/>
    <w:tmpl w:val="AF1AF0D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26B368D7"/>
    <w:multiLevelType w:val="hybridMultilevel"/>
    <w:tmpl w:val="BE88100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31302883"/>
    <w:multiLevelType w:val="hybridMultilevel"/>
    <w:tmpl w:val="188AEE3A"/>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5FE80367"/>
    <w:multiLevelType w:val="hybridMultilevel"/>
    <w:tmpl w:val="5F3AB40E"/>
    <w:lvl w:ilvl="0">
      <w:start w:val="3"/>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60ED3150"/>
    <w:multiLevelType w:val="hybridMultilevel"/>
    <w:tmpl w:val="AD2E50E4"/>
    <w:lvl w:ilvl="0">
      <w:start w:val="3"/>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688032B4"/>
    <w:multiLevelType w:val="hybridMultilevel"/>
    <w:tmpl w:val="3A9E3EB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4"/>
  </w:num>
  <w:num w:numId="2">
    <w:abstractNumId w:val="1"/>
  </w:num>
  <w:num w:numId="3">
    <w:abstractNumId w:val="3"/>
  </w:num>
  <w:num w:numId="4">
    <w:abstractNumId w:val="6"/>
  </w:num>
  <w:num w:numId="5">
    <w:abstractNumId w:val="5"/>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7D0"/>
    <w:rsid w:val="002B47D0"/>
    <w:rsid w:val="00407B96"/>
    <w:rsid w:val="00455516"/>
    <w:rsid w:val="004C344E"/>
    <w:rsid w:val="00517C87"/>
    <w:rsid w:val="00541504"/>
    <w:rsid w:val="006838D9"/>
    <w:rsid w:val="00772562"/>
    <w:rsid w:val="007F719E"/>
    <w:rsid w:val="008E709C"/>
    <w:rsid w:val="00966B96"/>
    <w:rsid w:val="00976769"/>
    <w:rsid w:val="00BF4D80"/>
    <w:rsid w:val="00D04857"/>
    <w:rsid w:val="00D244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szCs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szCs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bCs/>
      <w:sz w:val="24"/>
      <w:szCs w:val="24"/>
      <w:u w:val="single"/>
    </w:rPr>
  </w:style>
  <w:style w:type="paragraph" w:styleId="Heading4">
    <w:name w:val="heading 4"/>
    <w:basedOn w:val="Normal"/>
    <w:next w:val="Normal"/>
    <w:qFormat/>
    <w:pPr>
      <w:keepNext/>
      <w:tabs>
        <w:tab w:val="left" w:pos="360"/>
      </w:tabs>
      <w:outlineLvl w:val="3"/>
    </w:pPr>
    <w:rPr>
      <w:rFonts w:ascii="Times New Roman" w:hAnsi="Times New Roman"/>
      <w:b/>
      <w:bCs/>
      <w:sz w:val="24"/>
      <w:szCs w:val="24"/>
      <w:u w:val="single"/>
    </w:rPr>
  </w:style>
  <w:style w:type="paragraph" w:styleId="Heading5">
    <w:name w:val="heading 5"/>
    <w:basedOn w:val="Normal"/>
    <w:next w:val="Normal"/>
    <w:qFormat/>
    <w:pPr>
      <w:keepNext/>
      <w:jc w:val="center"/>
      <w:outlineLvl w:val="4"/>
    </w:pPr>
    <w:rPr>
      <w:rFonts w:ascii="Times New Roman" w:hAnsi="Times New Roman"/>
      <w:b/>
      <w:bCs/>
      <w:sz w:val="24"/>
      <w:szCs w:val="24"/>
    </w:rPr>
  </w:style>
  <w:style w:type="paragraph" w:styleId="Heading6">
    <w:name w:val="heading 6"/>
    <w:basedOn w:val="Normal"/>
    <w:next w:val="Normal"/>
    <w:qFormat/>
    <w:pPr>
      <w:keepNext/>
      <w:ind w:left="4320" w:firstLine="720"/>
      <w:outlineLvl w:val="5"/>
    </w:pPr>
    <w:rPr>
      <w:rFonts w:ascii="Times New Roman" w:hAnsi="Times New Roman"/>
      <w:sz w:val="24"/>
      <w:szCs w:val="24"/>
    </w:rPr>
  </w:style>
  <w:style w:type="paragraph" w:styleId="Heading7">
    <w:name w:val="heading 7"/>
    <w:basedOn w:val="Normal"/>
    <w:next w:val="Normal"/>
    <w:qFormat/>
    <w:pPr>
      <w:keepNext/>
      <w:ind w:left="1440" w:firstLine="720"/>
      <w:outlineLvl w:val="6"/>
    </w:pPr>
    <w:rPr>
      <w:rFonts w:ascii="Times New Roman" w:hAnsi="Times New Roman"/>
      <w:sz w:val="24"/>
      <w:szCs w:val="24"/>
    </w:rPr>
  </w:style>
  <w:style w:type="paragraph" w:styleId="Heading8">
    <w:name w:val="heading 8"/>
    <w:basedOn w:val="Normal"/>
    <w:next w:val="Normal"/>
    <w:qFormat/>
    <w:pPr>
      <w:keepNext/>
      <w:outlineLvl w:val="7"/>
    </w:pPr>
    <w:rPr>
      <w:rFonts w:ascii="Garamond" w:hAnsi="Garamond"/>
      <w:sz w:val="28"/>
      <w:szCs w:val="28"/>
    </w:rPr>
  </w:style>
  <w:style w:type="paragraph" w:styleId="Heading9">
    <w:name w:val="heading 9"/>
    <w:basedOn w:val="Normal"/>
    <w:next w:val="Normal"/>
    <w:qFormat/>
    <w:pPr>
      <w:keepNext/>
      <w:tabs>
        <w:tab w:val="left" w:pos="360"/>
      </w:tabs>
      <w:ind w:left="360" w:hanging="360"/>
      <w:outlineLvl w:val="8"/>
    </w:pPr>
    <w:rPr>
      <w:rFonts w:ascii="Garamond" w:hAnsi="Garamond"/>
      <w:b/>
      <w:bCs/>
      <w:sz w:val="24"/>
      <w:szCs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szCs w:val="24"/>
    </w:rPr>
  </w:style>
  <w:style w:type="paragraph" w:styleId="BodyTextIndent2">
    <w:name w:val="Body Text Indent 2"/>
    <w:basedOn w:val="Normal"/>
    <w:pPr>
      <w:ind w:left="720" w:firstLine="720"/>
    </w:pPr>
    <w:rPr>
      <w:rFonts w:ascii="Times New Roman" w:hAnsi="Times New Roman"/>
      <w:sz w:val="24"/>
      <w:szCs w:val="24"/>
    </w:rPr>
  </w:style>
  <w:style w:type="paragraph" w:styleId="Title">
    <w:name w:val="Title"/>
    <w:basedOn w:val="Normal"/>
    <w:qFormat/>
    <w:pPr>
      <w:jc w:val="center"/>
    </w:pPr>
    <w:rPr>
      <w:rFonts w:ascii="Times New Roman" w:hAnsi="Times New Roman"/>
      <w:b/>
      <w:bCs/>
      <w:sz w:val="24"/>
      <w:szCs w:val="24"/>
    </w:rPr>
  </w:style>
  <w:style w:type="paragraph" w:styleId="BodyTextIndent3">
    <w:name w:val="Body Text Indent 3"/>
    <w:basedOn w:val="Normal"/>
    <w:pPr>
      <w:ind w:left="1440" w:hanging="720"/>
    </w:pPr>
    <w:rPr>
      <w:rFonts w:ascii="Times New Roman" w:hAnsi="Times New Roman"/>
      <w:sz w:val="24"/>
      <w:szCs w:val="24"/>
    </w:rPr>
  </w:style>
  <w:style w:type="paragraph" w:styleId="BodyText">
    <w:name w:val="Body Text"/>
    <w:basedOn w:val="Normal"/>
    <w:pPr>
      <w:tabs>
        <w:tab w:val="left" w:pos="360"/>
      </w:tabs>
    </w:pPr>
    <w:rPr>
      <w:rFonts w:ascii="Times New Roman" w:hAnsi="Times New Roman"/>
      <w:sz w:val="24"/>
      <w:szCs w:val="24"/>
    </w:rPr>
  </w:style>
  <w:style w:type="paragraph" w:styleId="DocumentMap">
    <w:name w:val="Document Map"/>
    <w:basedOn w:val="Normal"/>
    <w:semiHidden/>
    <w:pPr>
      <w:shd w:val="clear" w:color="auto" w:fill="000080"/>
    </w:pPr>
    <w:rPr>
      <w:rFonts w:ascii="Tahoma" w:hAnsi="Tahoma" w:cs="Tahoma"/>
    </w:rPr>
  </w:style>
  <w:style w:type="paragraph" w:styleId="BlockText">
    <w:name w:val="Block Text"/>
    <w:basedOn w:val="Normal"/>
    <w:pPr>
      <w:tabs>
        <w:tab w:val="left" w:pos="360"/>
      </w:tabs>
      <w:ind w:left="720" w:right="720"/>
    </w:pPr>
    <w:rPr>
      <w:rFonts w:ascii="Times New Roman" w:hAnsi="Times New Roman"/>
      <w:sz w:val="24"/>
      <w:szCs w:val="24"/>
    </w:rPr>
  </w:style>
  <w:style w:type="paragraph" w:styleId="BodyText20">
    <w:name w:val="Body Text 2"/>
    <w:basedOn w:val="Normal"/>
    <w:pPr>
      <w:tabs>
        <w:tab w:val="left" w:pos="360"/>
      </w:tabs>
      <w:ind w:left="360" w:hanging="360"/>
    </w:pPr>
    <w:rPr>
      <w:rFonts w:ascii="Times New Roman" w:hAnsi="Times New Roman"/>
      <w:sz w:val="24"/>
      <w:szCs w:val="24"/>
    </w:rPr>
  </w:style>
  <w:style w:type="paragraph" w:styleId="BodyText21">
    <w:name w:val="Body Text 2"/>
    <w:basedOn w:val="Normal"/>
    <w:pPr>
      <w:ind w:left="720"/>
    </w:pPr>
    <w:rPr>
      <w:rFonts w:ascii="Times New Roman" w:hAnsi="Times New Roman"/>
      <w:sz w:val="24"/>
      <w:szCs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bCs/>
      <w:sz w:val="24"/>
      <w:szCs w:val="24"/>
    </w:rPr>
  </w:style>
  <w:style w:type="paragraph" w:styleId="Footer">
    <w:name w:val="footer"/>
    <w:basedOn w:val="Normal"/>
    <w:pPr>
      <w:tabs>
        <w:tab w:val="center" w:pos="4320"/>
        <w:tab w:val="right" w:pos="8640"/>
      </w:tabs>
    </w:p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szCs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szCs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bCs/>
      <w:sz w:val="24"/>
      <w:szCs w:val="24"/>
      <w:u w:val="single"/>
    </w:rPr>
  </w:style>
  <w:style w:type="paragraph" w:styleId="Heading4">
    <w:name w:val="heading 4"/>
    <w:basedOn w:val="Normal"/>
    <w:next w:val="Normal"/>
    <w:qFormat/>
    <w:pPr>
      <w:keepNext/>
      <w:tabs>
        <w:tab w:val="left" w:pos="360"/>
      </w:tabs>
      <w:outlineLvl w:val="3"/>
    </w:pPr>
    <w:rPr>
      <w:rFonts w:ascii="Times New Roman" w:hAnsi="Times New Roman"/>
      <w:b/>
      <w:bCs/>
      <w:sz w:val="24"/>
      <w:szCs w:val="24"/>
      <w:u w:val="single"/>
    </w:rPr>
  </w:style>
  <w:style w:type="paragraph" w:styleId="Heading5">
    <w:name w:val="heading 5"/>
    <w:basedOn w:val="Normal"/>
    <w:next w:val="Normal"/>
    <w:qFormat/>
    <w:pPr>
      <w:keepNext/>
      <w:jc w:val="center"/>
      <w:outlineLvl w:val="4"/>
    </w:pPr>
    <w:rPr>
      <w:rFonts w:ascii="Times New Roman" w:hAnsi="Times New Roman"/>
      <w:b/>
      <w:bCs/>
      <w:sz w:val="24"/>
      <w:szCs w:val="24"/>
    </w:rPr>
  </w:style>
  <w:style w:type="paragraph" w:styleId="Heading6">
    <w:name w:val="heading 6"/>
    <w:basedOn w:val="Normal"/>
    <w:next w:val="Normal"/>
    <w:qFormat/>
    <w:pPr>
      <w:keepNext/>
      <w:ind w:left="4320" w:firstLine="720"/>
      <w:outlineLvl w:val="5"/>
    </w:pPr>
    <w:rPr>
      <w:rFonts w:ascii="Times New Roman" w:hAnsi="Times New Roman"/>
      <w:sz w:val="24"/>
      <w:szCs w:val="24"/>
    </w:rPr>
  </w:style>
  <w:style w:type="paragraph" w:styleId="Heading7">
    <w:name w:val="heading 7"/>
    <w:basedOn w:val="Normal"/>
    <w:next w:val="Normal"/>
    <w:qFormat/>
    <w:pPr>
      <w:keepNext/>
      <w:ind w:left="1440" w:firstLine="720"/>
      <w:outlineLvl w:val="6"/>
    </w:pPr>
    <w:rPr>
      <w:rFonts w:ascii="Times New Roman" w:hAnsi="Times New Roman"/>
      <w:sz w:val="24"/>
      <w:szCs w:val="24"/>
    </w:rPr>
  </w:style>
  <w:style w:type="paragraph" w:styleId="Heading8">
    <w:name w:val="heading 8"/>
    <w:basedOn w:val="Normal"/>
    <w:next w:val="Normal"/>
    <w:qFormat/>
    <w:pPr>
      <w:keepNext/>
      <w:outlineLvl w:val="7"/>
    </w:pPr>
    <w:rPr>
      <w:rFonts w:ascii="Garamond" w:hAnsi="Garamond"/>
      <w:sz w:val="28"/>
      <w:szCs w:val="28"/>
    </w:rPr>
  </w:style>
  <w:style w:type="paragraph" w:styleId="Heading9">
    <w:name w:val="heading 9"/>
    <w:basedOn w:val="Normal"/>
    <w:next w:val="Normal"/>
    <w:qFormat/>
    <w:pPr>
      <w:keepNext/>
      <w:tabs>
        <w:tab w:val="left" w:pos="360"/>
      </w:tabs>
      <w:ind w:left="360" w:hanging="360"/>
      <w:outlineLvl w:val="8"/>
    </w:pPr>
    <w:rPr>
      <w:rFonts w:ascii="Garamond" w:hAnsi="Garamond"/>
      <w:b/>
      <w:bCs/>
      <w:sz w:val="24"/>
      <w:szCs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szCs w:val="24"/>
    </w:rPr>
  </w:style>
  <w:style w:type="paragraph" w:styleId="BodyTextIndent2">
    <w:name w:val="Body Text Indent 2"/>
    <w:basedOn w:val="Normal"/>
    <w:pPr>
      <w:ind w:left="720" w:firstLine="720"/>
    </w:pPr>
    <w:rPr>
      <w:rFonts w:ascii="Times New Roman" w:hAnsi="Times New Roman"/>
      <w:sz w:val="24"/>
      <w:szCs w:val="24"/>
    </w:rPr>
  </w:style>
  <w:style w:type="paragraph" w:styleId="Title">
    <w:name w:val="Title"/>
    <w:basedOn w:val="Normal"/>
    <w:qFormat/>
    <w:pPr>
      <w:jc w:val="center"/>
    </w:pPr>
    <w:rPr>
      <w:rFonts w:ascii="Times New Roman" w:hAnsi="Times New Roman"/>
      <w:b/>
      <w:bCs/>
      <w:sz w:val="24"/>
      <w:szCs w:val="24"/>
    </w:rPr>
  </w:style>
  <w:style w:type="paragraph" w:styleId="BodyTextIndent3">
    <w:name w:val="Body Text Indent 3"/>
    <w:basedOn w:val="Normal"/>
    <w:pPr>
      <w:ind w:left="1440" w:hanging="720"/>
    </w:pPr>
    <w:rPr>
      <w:rFonts w:ascii="Times New Roman" w:hAnsi="Times New Roman"/>
      <w:sz w:val="24"/>
      <w:szCs w:val="24"/>
    </w:rPr>
  </w:style>
  <w:style w:type="paragraph" w:styleId="BodyText">
    <w:name w:val="Body Text"/>
    <w:basedOn w:val="Normal"/>
    <w:pPr>
      <w:tabs>
        <w:tab w:val="left" w:pos="360"/>
      </w:tabs>
    </w:pPr>
    <w:rPr>
      <w:rFonts w:ascii="Times New Roman" w:hAnsi="Times New Roman"/>
      <w:sz w:val="24"/>
      <w:szCs w:val="24"/>
    </w:rPr>
  </w:style>
  <w:style w:type="paragraph" w:styleId="DocumentMap">
    <w:name w:val="Document Map"/>
    <w:basedOn w:val="Normal"/>
    <w:semiHidden/>
    <w:pPr>
      <w:shd w:val="clear" w:color="auto" w:fill="000080"/>
    </w:pPr>
    <w:rPr>
      <w:rFonts w:ascii="Tahoma" w:hAnsi="Tahoma" w:cs="Tahoma"/>
    </w:rPr>
  </w:style>
  <w:style w:type="paragraph" w:styleId="BlockText">
    <w:name w:val="Block Text"/>
    <w:basedOn w:val="Normal"/>
    <w:pPr>
      <w:tabs>
        <w:tab w:val="left" w:pos="360"/>
      </w:tabs>
      <w:ind w:left="720" w:right="720"/>
    </w:pPr>
    <w:rPr>
      <w:rFonts w:ascii="Times New Roman" w:hAnsi="Times New Roman"/>
      <w:sz w:val="24"/>
      <w:szCs w:val="24"/>
    </w:rPr>
  </w:style>
  <w:style w:type="paragraph" w:styleId="BodyText20">
    <w:name w:val="Body Text 2"/>
    <w:basedOn w:val="Normal"/>
    <w:pPr>
      <w:tabs>
        <w:tab w:val="left" w:pos="360"/>
      </w:tabs>
      <w:ind w:left="360" w:hanging="360"/>
    </w:pPr>
    <w:rPr>
      <w:rFonts w:ascii="Times New Roman" w:hAnsi="Times New Roman"/>
      <w:sz w:val="24"/>
      <w:szCs w:val="24"/>
    </w:rPr>
  </w:style>
  <w:style w:type="paragraph" w:styleId="BodyText21">
    <w:name w:val="Body Text 2"/>
    <w:basedOn w:val="Normal"/>
    <w:pPr>
      <w:ind w:left="720"/>
    </w:pPr>
    <w:rPr>
      <w:rFonts w:ascii="Times New Roman" w:hAnsi="Times New Roman"/>
      <w:sz w:val="24"/>
      <w:szCs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bCs/>
      <w:sz w:val="24"/>
      <w:szCs w:val="24"/>
    </w:rPr>
  </w:style>
  <w:style w:type="paragraph" w:styleId="Footer">
    <w:name w:val="footer"/>
    <w:basedOn w:val="Normal"/>
    <w:pPr>
      <w:tabs>
        <w:tab w:val="center" w:pos="4320"/>
        <w:tab w:val="right" w:pos="8640"/>
      </w:tabs>
    </w:p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1385</Words>
  <Characters>7896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Sample Course Outline – 30 Sessions</vt:lpstr>
    </vt:vector>
  </TitlesOfParts>
  <Company>Dartmouth College</Company>
  <LinksUpToDate>false</LinksUpToDate>
  <CharactersWithSpaces>9263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Course Outline – 30 Sessions</dc:title>
  <dc:subject/>
  <dc:creator>Wake Forest University</dc:creator>
  <cp:keywords/>
  <dc:description/>
  <cp:lastModifiedBy>ZEENAT JABBAR</cp:lastModifiedBy>
  <cp:revision>2</cp:revision>
  <cp:lastPrinted>2002-07-16T09:03:00Z</cp:lastPrinted>
  <dcterms:created xsi:type="dcterms:W3CDTF">2013-06-16T16:18:00Z</dcterms:created>
  <dcterms:modified xsi:type="dcterms:W3CDTF">2013-06-16T16:18:00Z</dcterms:modified>
</cp:coreProperties>
</file>