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1DFC" w:rsidRDefault="00DC3AE4">
      <w:pPr>
        <w:pStyle w:val="Title"/>
        <w:tabs>
          <w:tab w:val="left" w:pos="360"/>
        </w:tabs>
        <w:rPr>
          <w:rFonts w:ascii="Garamond" w:hAnsi="Garamond"/>
        </w:rPr>
      </w:pPr>
      <w:r>
        <w:rPr>
          <w:rFonts w:ascii="Garamond" w:hAnsi="Garamond"/>
        </w:rPr>
        <w:t>LECTURE 22</w:t>
      </w:r>
    </w:p>
    <w:p w:rsidR="00D61DFC" w:rsidRDefault="00D61DFC">
      <w:pPr>
        <w:tabs>
          <w:tab w:val="left" w:pos="360"/>
        </w:tabs>
        <w:jc w:val="center"/>
        <w:rPr>
          <w:rFonts w:ascii="Garamond" w:hAnsi="Garamond"/>
          <w:b/>
          <w:sz w:val="24"/>
        </w:rPr>
      </w:pPr>
      <w:r>
        <w:rPr>
          <w:rFonts w:ascii="Garamond" w:hAnsi="Garamond"/>
          <w:b/>
          <w:sz w:val="24"/>
        </w:rPr>
        <w:t>Integrating Marketing Communications to Build Brand Equity</w:t>
      </w:r>
    </w:p>
    <w:p w:rsidR="00D61DFC" w:rsidRDefault="00D61DFC">
      <w:pPr>
        <w:tabs>
          <w:tab w:val="left" w:pos="360"/>
        </w:tabs>
        <w:rPr>
          <w:rFonts w:ascii="Garamond" w:hAnsi="Garamond"/>
          <w:sz w:val="24"/>
        </w:rPr>
      </w:pPr>
    </w:p>
    <w:p w:rsidR="00D61DFC" w:rsidRDefault="00D61DFC">
      <w:pPr>
        <w:tabs>
          <w:tab w:val="left" w:pos="360"/>
        </w:tabs>
        <w:rPr>
          <w:rFonts w:ascii="Garamond" w:hAnsi="Garamond"/>
          <w:sz w:val="24"/>
        </w:rPr>
      </w:pPr>
    </w:p>
    <w:p w:rsidR="00D61DFC" w:rsidRDefault="00D61DFC">
      <w:pPr>
        <w:pStyle w:val="Heading2"/>
        <w:rPr>
          <w:rFonts w:ascii="Garamond" w:hAnsi="Garamond"/>
          <w:u w:val="single"/>
        </w:rPr>
      </w:pPr>
      <w:r>
        <w:rPr>
          <w:rFonts w:ascii="Garamond" w:hAnsi="Garamond"/>
          <w:b/>
          <w:u w:val="single"/>
        </w:rPr>
        <w:t>Overview</w:t>
      </w:r>
    </w:p>
    <w:p w:rsidR="00DC3AE4" w:rsidRDefault="00DC3AE4">
      <w:pPr>
        <w:tabs>
          <w:tab w:val="left" w:pos="360"/>
        </w:tabs>
        <w:rPr>
          <w:rFonts w:ascii="Garamond" w:hAnsi="Garamond"/>
          <w:sz w:val="24"/>
        </w:rPr>
      </w:pPr>
    </w:p>
    <w:p w:rsidR="00D61DFC" w:rsidRDefault="00D61DFC">
      <w:pPr>
        <w:tabs>
          <w:tab w:val="left" w:pos="360"/>
        </w:tabs>
        <w:rPr>
          <w:rFonts w:ascii="Garamond" w:hAnsi="Garamond"/>
          <w:sz w:val="24"/>
        </w:rPr>
      </w:pPr>
      <w:r>
        <w:rPr>
          <w:rFonts w:ascii="Garamond" w:hAnsi="Garamond"/>
          <w:sz w:val="24"/>
        </w:rPr>
        <w:t xml:space="preserve">This chapter describes the </w:t>
      </w:r>
      <w:r w:rsidR="008E2CA8">
        <w:rPr>
          <w:rFonts w:ascii="Garamond" w:hAnsi="Garamond"/>
          <w:sz w:val="24"/>
        </w:rPr>
        <w:t xml:space="preserve">new media environment and </w:t>
      </w:r>
      <w:r>
        <w:rPr>
          <w:rFonts w:ascii="Garamond" w:hAnsi="Garamond"/>
          <w:sz w:val="24"/>
        </w:rPr>
        <w:t xml:space="preserve">role of marketing communications in building brand equity. Advertising, promotions, direct marketing, event sponsorship, personal selling, publicity and public relations and other forms of marketing communications are the means by which firms stay in touch with consumers and form relationships with them. They can help build customer-based brand equity by affecting brand awareness; by creating, reinforcing or strengthening favorable and unique band associations; by eliciting positive brand judgements or feelings; and facilitating brand resonance.  A communications campaign should contain a mix of options, each selected based on its ability to achieve specific objectives and to integrate with other options to maximize brand equity. </w:t>
      </w:r>
    </w:p>
    <w:p w:rsidR="00D61DFC" w:rsidRDefault="00D61DFC">
      <w:pPr>
        <w:tabs>
          <w:tab w:val="left" w:pos="360"/>
        </w:tabs>
        <w:rPr>
          <w:rFonts w:ascii="Garamond" w:hAnsi="Garamond"/>
          <w:sz w:val="24"/>
        </w:rPr>
      </w:pPr>
    </w:p>
    <w:p w:rsidR="00D61DFC" w:rsidRDefault="00D61DFC">
      <w:pPr>
        <w:tabs>
          <w:tab w:val="left" w:pos="360"/>
        </w:tabs>
        <w:rPr>
          <w:rFonts w:ascii="Garamond" w:hAnsi="Garamond"/>
          <w:sz w:val="24"/>
        </w:rPr>
      </w:pPr>
      <w:r>
        <w:rPr>
          <w:rFonts w:ascii="Garamond" w:hAnsi="Garamond"/>
          <w:sz w:val="24"/>
        </w:rPr>
        <w:t>The options included in a mix should, through their complementarity, produce results that are greater than the sum of their individual effects. Whenever possible, options should be linked to one another through the use of common visual or verbal information. Such links, or cues, enhance consumer motivation, ability, and opportunity to process and retrieve brand-related information. Hence, they facilitate the formation of strong, favorable, and unique associations.</w:t>
      </w:r>
    </w:p>
    <w:p w:rsidR="00D61DFC" w:rsidRDefault="00D61DFC">
      <w:pPr>
        <w:tabs>
          <w:tab w:val="left" w:pos="360"/>
        </w:tabs>
        <w:rPr>
          <w:rFonts w:ascii="Garamond" w:hAnsi="Garamond"/>
          <w:sz w:val="24"/>
        </w:rPr>
      </w:pPr>
    </w:p>
    <w:p w:rsidR="00D61DFC" w:rsidRDefault="00D61DFC">
      <w:pPr>
        <w:tabs>
          <w:tab w:val="left" w:pos="360"/>
        </w:tabs>
        <w:rPr>
          <w:rFonts w:ascii="Garamond" w:hAnsi="Garamond"/>
          <w:sz w:val="24"/>
        </w:rPr>
      </w:pPr>
      <w:r>
        <w:rPr>
          <w:rFonts w:ascii="Garamond" w:hAnsi="Garamond"/>
          <w:sz w:val="24"/>
        </w:rPr>
        <w:t xml:space="preserve">Components of a communication strategy can be judged for their ability to achieve the desired brand knowledge structures and elicit the differential response from consumers that creates brand equity. Six success factors for advertising are identified: consumer targeting, ad creative, consumer understanding, brand positioning, consumer motivation, and ad memorability. A flexible marketing program is one that contributes to brand equity in a number of different ways. </w:t>
      </w:r>
    </w:p>
    <w:p w:rsidR="00D61DFC" w:rsidRDefault="00D61DFC">
      <w:pPr>
        <w:tabs>
          <w:tab w:val="left" w:pos="360"/>
        </w:tabs>
        <w:rPr>
          <w:rFonts w:ascii="Garamond" w:hAnsi="Garamond"/>
          <w:sz w:val="24"/>
        </w:rPr>
      </w:pPr>
    </w:p>
    <w:p w:rsidR="00D61DFC" w:rsidRDefault="00D61DFC">
      <w:pPr>
        <w:tabs>
          <w:tab w:val="left" w:pos="360"/>
        </w:tabs>
        <w:rPr>
          <w:rFonts w:ascii="Garamond" w:hAnsi="Garamond"/>
          <w:sz w:val="24"/>
        </w:rPr>
      </w:pPr>
      <w:r>
        <w:rPr>
          <w:rFonts w:ascii="Garamond" w:hAnsi="Garamond"/>
          <w:sz w:val="24"/>
        </w:rPr>
        <w:t xml:space="preserve">Each type of marketing communication tool is evaluated in the chapter. These include all advertising, in the form of television, radio, print, direct response, on-line, place (billboard, poster, movie, airport, product placement). Also included are promotions – sales promotions, consumer promotions, and trade promotions; event marketing and sponsorship; public relations and publicity; and personal selling. </w:t>
      </w:r>
    </w:p>
    <w:p w:rsidR="00D61DFC" w:rsidRDefault="00D61DFC">
      <w:pPr>
        <w:tabs>
          <w:tab w:val="left" w:pos="360"/>
        </w:tabs>
        <w:rPr>
          <w:rFonts w:ascii="Garamond" w:hAnsi="Garamond"/>
          <w:sz w:val="24"/>
        </w:rPr>
      </w:pPr>
    </w:p>
    <w:p w:rsidR="00D61DFC" w:rsidRDefault="00D61DFC">
      <w:pPr>
        <w:tabs>
          <w:tab w:val="left" w:pos="360"/>
        </w:tabs>
        <w:rPr>
          <w:rFonts w:ascii="Garamond" w:hAnsi="Garamond"/>
          <w:sz w:val="24"/>
        </w:rPr>
      </w:pPr>
      <w:r>
        <w:rPr>
          <w:rFonts w:ascii="Garamond" w:hAnsi="Garamond"/>
          <w:sz w:val="24"/>
        </w:rPr>
        <w:t xml:space="preserve">The chapter discusses the importance of integrated marketing communication for maximizing the contribution to brand equity of a brand’s marketing program. An integrated marketing communication program must be judged on six criteria: coverage, contribution, commonality, complementarity, versatility, and cost. </w:t>
      </w:r>
    </w:p>
    <w:p w:rsidR="00D61DFC" w:rsidRDefault="00D61DFC">
      <w:pPr>
        <w:tabs>
          <w:tab w:val="left" w:pos="360"/>
        </w:tabs>
        <w:rPr>
          <w:rFonts w:ascii="Garamond" w:hAnsi="Garamond"/>
          <w:sz w:val="24"/>
        </w:rPr>
      </w:pPr>
    </w:p>
    <w:p w:rsidR="00D61DFC" w:rsidRDefault="00D61DFC" w:rsidP="00D52A63">
      <w:pPr>
        <w:tabs>
          <w:tab w:val="left" w:pos="360"/>
        </w:tabs>
        <w:rPr>
          <w:rFonts w:ascii="Garamond" w:hAnsi="Garamond"/>
          <w:sz w:val="24"/>
        </w:rPr>
      </w:pPr>
      <w:r>
        <w:rPr>
          <w:rFonts w:ascii="Garamond" w:hAnsi="Garamond"/>
          <w:sz w:val="24"/>
        </w:rPr>
        <w:t xml:space="preserve">Brand Focus 6.0 discusses how to coordinate media buys in order to maximize brand equity. Strategies for coordination include the implementation of brand signatures and ad retrieval cues, designing complementary media schedules across media, and developing television campaigns over time. </w:t>
      </w:r>
    </w:p>
    <w:p w:rsidR="00D61DFC" w:rsidRDefault="00D61DFC">
      <w:pPr>
        <w:tabs>
          <w:tab w:val="left" w:pos="360"/>
        </w:tabs>
        <w:rPr>
          <w:rFonts w:ascii="Garamond" w:hAnsi="Garamond"/>
          <w:sz w:val="24"/>
        </w:rPr>
      </w:pPr>
    </w:p>
    <w:p w:rsidR="00D61DFC" w:rsidRDefault="00D61DFC">
      <w:pPr>
        <w:pStyle w:val="Heading1"/>
        <w:rPr>
          <w:rFonts w:ascii="Garamond" w:hAnsi="Garamond"/>
        </w:rPr>
      </w:pPr>
      <w:r>
        <w:rPr>
          <w:rFonts w:ascii="Garamond" w:hAnsi="Garamond"/>
          <w:b/>
        </w:rPr>
        <w:lastRenderedPageBreak/>
        <w:t>Key take-away points</w:t>
      </w:r>
    </w:p>
    <w:p w:rsidR="00D61DFC" w:rsidRDefault="00D61DFC">
      <w:pPr>
        <w:tabs>
          <w:tab w:val="left" w:pos="360"/>
        </w:tabs>
        <w:spacing w:before="120"/>
        <w:ind w:left="360" w:hanging="360"/>
        <w:rPr>
          <w:rFonts w:ascii="Garamond" w:hAnsi="Garamond"/>
          <w:sz w:val="24"/>
        </w:rPr>
      </w:pPr>
      <w:r>
        <w:rPr>
          <w:rFonts w:ascii="Garamond" w:hAnsi="Garamond"/>
          <w:sz w:val="24"/>
        </w:rPr>
        <w:t>1.</w:t>
      </w:r>
      <w:r>
        <w:rPr>
          <w:rFonts w:ascii="Garamond" w:hAnsi="Garamond"/>
          <w:sz w:val="24"/>
        </w:rPr>
        <w:tab/>
        <w:t>It is through marketing communications that brands build relationships with consumers.</w:t>
      </w:r>
    </w:p>
    <w:p w:rsidR="00D61DFC" w:rsidRDefault="00D61DFC">
      <w:pPr>
        <w:tabs>
          <w:tab w:val="left" w:pos="360"/>
        </w:tabs>
        <w:spacing w:before="120"/>
        <w:ind w:left="360" w:hanging="360"/>
        <w:rPr>
          <w:rFonts w:ascii="Garamond" w:hAnsi="Garamond"/>
          <w:sz w:val="24"/>
        </w:rPr>
      </w:pPr>
      <w:r>
        <w:rPr>
          <w:rFonts w:ascii="Garamond" w:hAnsi="Garamond"/>
          <w:sz w:val="24"/>
        </w:rPr>
        <w:t>2.</w:t>
      </w:r>
      <w:r>
        <w:rPr>
          <w:rFonts w:ascii="Garamond" w:hAnsi="Garamond"/>
          <w:sz w:val="24"/>
        </w:rPr>
        <w:tab/>
        <w:t>Development of an integrated marketing communications campaign entails “mixing and matching” options based on their ability to produce a whole that is greater than the sum of its parts.</w:t>
      </w:r>
    </w:p>
    <w:p w:rsidR="00D61DFC" w:rsidRDefault="00D61DFC">
      <w:pPr>
        <w:tabs>
          <w:tab w:val="left" w:pos="360"/>
        </w:tabs>
        <w:spacing w:before="120"/>
        <w:ind w:left="360" w:hanging="360"/>
        <w:rPr>
          <w:rFonts w:ascii="Garamond" w:hAnsi="Garamond"/>
          <w:sz w:val="24"/>
        </w:rPr>
      </w:pPr>
      <w:r>
        <w:rPr>
          <w:rFonts w:ascii="Garamond" w:hAnsi="Garamond"/>
          <w:sz w:val="24"/>
        </w:rPr>
        <w:t>3.</w:t>
      </w:r>
      <w:r>
        <w:rPr>
          <w:rFonts w:ascii="Garamond" w:hAnsi="Garamond"/>
          <w:sz w:val="24"/>
        </w:rPr>
        <w:tab/>
        <w:t>Creating a dialogue with consumers requires thinking beyond traditional advertising and promotion strategies.</w:t>
      </w:r>
    </w:p>
    <w:p w:rsidR="00D61DFC" w:rsidRDefault="00D61DFC">
      <w:pPr>
        <w:tabs>
          <w:tab w:val="left" w:pos="360"/>
        </w:tabs>
        <w:spacing w:before="120"/>
        <w:ind w:left="360" w:hanging="360"/>
        <w:rPr>
          <w:rFonts w:ascii="Garamond" w:hAnsi="Garamond"/>
          <w:sz w:val="24"/>
        </w:rPr>
      </w:pPr>
      <w:r>
        <w:rPr>
          <w:rFonts w:ascii="Garamond" w:hAnsi="Garamond"/>
          <w:sz w:val="24"/>
        </w:rPr>
        <w:t>4.</w:t>
      </w:r>
      <w:r>
        <w:rPr>
          <w:rFonts w:ascii="Garamond" w:hAnsi="Garamond"/>
          <w:sz w:val="24"/>
        </w:rPr>
        <w:tab/>
        <w:t>Consistency is the key to creating brand awareness and strong brand associations.</w:t>
      </w:r>
    </w:p>
    <w:p w:rsidR="00D61DFC" w:rsidRDefault="00D61DFC">
      <w:pPr>
        <w:spacing w:line="240" w:lineRule="atLeast"/>
        <w:jc w:val="center"/>
        <w:rPr>
          <w:rFonts w:ascii="Garamond" w:hAnsi="Garamond"/>
          <w:b/>
          <w:i/>
          <w:caps/>
          <w:sz w:val="24"/>
        </w:rPr>
      </w:pPr>
      <w:r>
        <w:rPr>
          <w:rFonts w:ascii="Garamond" w:hAnsi="Garamond"/>
          <w:sz w:val="24"/>
        </w:rPr>
        <w:br w:type="page"/>
      </w:r>
      <w:r w:rsidR="0083611E">
        <w:rPr>
          <w:rFonts w:ascii="Garamond" w:hAnsi="Garamond"/>
          <w:b/>
          <w:i/>
          <w:caps/>
          <w:sz w:val="24"/>
        </w:rPr>
        <w:lastRenderedPageBreak/>
        <w:t>Branding Brief 6-7</w:t>
      </w:r>
    </w:p>
    <w:p w:rsidR="00D61DFC" w:rsidRDefault="00D61DFC">
      <w:pPr>
        <w:jc w:val="center"/>
        <w:rPr>
          <w:rFonts w:ascii="Garamond" w:hAnsi="Garamond"/>
          <w:b/>
          <w:i/>
          <w:caps/>
          <w:sz w:val="24"/>
        </w:rPr>
      </w:pPr>
      <w:r>
        <w:rPr>
          <w:rFonts w:ascii="Garamond" w:hAnsi="Garamond"/>
          <w:b/>
          <w:i/>
          <w:caps/>
          <w:sz w:val="24"/>
        </w:rPr>
        <w:t>driving higher sales at Oracle</w:t>
      </w:r>
      <w:r>
        <w:rPr>
          <w:rStyle w:val="FootnoteReference"/>
          <w:rFonts w:ascii="Garamond" w:hAnsi="Garamond"/>
          <w:b/>
          <w:i/>
          <w:caps/>
          <w:sz w:val="24"/>
        </w:rPr>
        <w:footnoteReference w:id="1"/>
      </w:r>
    </w:p>
    <w:p w:rsidR="00D61DFC" w:rsidRDefault="00D61DFC">
      <w:pPr>
        <w:jc w:val="center"/>
        <w:rPr>
          <w:rFonts w:ascii="Garamond" w:hAnsi="Garamond"/>
          <w:b/>
          <w:i/>
          <w:caps/>
          <w:sz w:val="24"/>
        </w:rPr>
      </w:pPr>
    </w:p>
    <w:p w:rsidR="00D61DFC" w:rsidRDefault="00D61DFC">
      <w:pPr>
        <w:spacing w:before="240"/>
        <w:rPr>
          <w:rFonts w:ascii="Garamond" w:hAnsi="Garamond"/>
          <w:sz w:val="24"/>
        </w:rPr>
      </w:pPr>
      <w:r>
        <w:rPr>
          <w:rFonts w:ascii="Garamond" w:hAnsi="Garamond"/>
          <w:sz w:val="24"/>
        </w:rPr>
        <w:t xml:space="preserve">Larry Ellison, along with three partners, founded the database management software company System Development Laboratories in 1977. In 1982, the company changed its name to Oracle, after the name of its first product. By 1988, Oracle had a 36 percent share of the </w:t>
      </w:r>
      <w:smartTag w:uri="urn:schemas-microsoft-com:office:smarttags" w:element="place">
        <w:smartTag w:uri="urn:schemas-microsoft-com:office:smarttags" w:element="country-region">
          <w:r>
            <w:rPr>
              <w:rFonts w:ascii="Garamond" w:hAnsi="Garamond"/>
              <w:sz w:val="24"/>
            </w:rPr>
            <w:t>U.S.</w:t>
          </w:r>
        </w:smartTag>
      </w:smartTag>
      <w:r>
        <w:rPr>
          <w:rFonts w:ascii="Garamond" w:hAnsi="Garamond"/>
          <w:sz w:val="24"/>
        </w:rPr>
        <w:t xml:space="preserve"> government’s PC database market. The company began offering consulting services to its customers in 1989. </w:t>
      </w:r>
    </w:p>
    <w:p w:rsidR="00D61DFC" w:rsidRDefault="00D61DFC">
      <w:pPr>
        <w:spacing w:before="240"/>
        <w:rPr>
          <w:rFonts w:ascii="Garamond" w:hAnsi="Garamond"/>
          <w:sz w:val="24"/>
        </w:rPr>
      </w:pPr>
      <w:r>
        <w:rPr>
          <w:rFonts w:ascii="Garamond" w:hAnsi="Garamond"/>
          <w:sz w:val="24"/>
        </w:rPr>
        <w:t xml:space="preserve">Oracle’s adjustment to this rapid growth was not seamless, however. The company developed a reputation as a leader in “vaporware,” or products that are announced publicly but are still under development and therefore, unavailable. Its software often contained numerous bugs or lacked promised features. The company found itself embroiled in an accounting scandal in 1990, a result of a widespread practice among the sales representatives of recording sales a quarter early in order to boost earnings during slow quarters. Oracle was forced to restate earnings, pay a fine to the SEC, and spend millions of dollars settling shareholder lawsuits. The company’s stock plummeted as a result of these developments. </w:t>
      </w:r>
    </w:p>
    <w:p w:rsidR="00D61DFC" w:rsidRDefault="00D61DFC">
      <w:pPr>
        <w:spacing w:before="240"/>
        <w:rPr>
          <w:rFonts w:ascii="Garamond" w:hAnsi="Garamond"/>
          <w:sz w:val="24"/>
        </w:rPr>
      </w:pPr>
      <w:r>
        <w:rPr>
          <w:rFonts w:ascii="Garamond" w:hAnsi="Garamond"/>
          <w:sz w:val="24"/>
        </w:rPr>
        <w:t xml:space="preserve">Beginning in 1991, Ellison enacted a plan that rescued Oracle from the brink. He secured $80 million in financing from Nippon Steel, installed experienced Booz Allen manager </w:t>
      </w:r>
      <w:smartTag w:uri="urn:schemas-microsoft-com:office:smarttags" w:element="Street">
        <w:smartTag w:uri="urn:schemas-microsoft-com:office:smarttags" w:element="address">
          <w:r>
            <w:rPr>
              <w:rFonts w:ascii="Garamond" w:hAnsi="Garamond"/>
              <w:sz w:val="24"/>
            </w:rPr>
            <w:t>Ray Lane</w:t>
          </w:r>
        </w:smartTag>
      </w:smartTag>
      <w:r>
        <w:rPr>
          <w:rFonts w:ascii="Garamond" w:hAnsi="Garamond"/>
          <w:sz w:val="24"/>
        </w:rPr>
        <w:t xml:space="preserve"> as COO and president, reduced headcount by 10 percent, and imposed stricter policies governing its sales force. Ellison took a hands-on approach to establishing sales protocol for his company. He rewrote sales contracts himself and initiated a standard-pricing policy that eliminated haggling. He also altered the compensation scheme so that managers were rewarded for meeting profit-margin targets rather than for reaching sales volume quotas regardless of cost.</w:t>
      </w:r>
    </w:p>
    <w:p w:rsidR="00D61DFC" w:rsidRDefault="00D61DFC">
      <w:pPr>
        <w:spacing w:before="240"/>
        <w:rPr>
          <w:rFonts w:ascii="Garamond" w:hAnsi="Garamond"/>
          <w:sz w:val="24"/>
        </w:rPr>
      </w:pPr>
      <w:r>
        <w:rPr>
          <w:rFonts w:ascii="Garamond" w:hAnsi="Garamond"/>
          <w:sz w:val="24"/>
        </w:rPr>
        <w:t xml:space="preserve">These moves, along with the launch of the next-generation Oracle 7 database in 1993, allowed the company to complete a turnaround. By 1994, the company was the number-one database management software maker in the world, with sales exceeding $2 billion that year. Oracle’s revenues tripled between 1995 and 1999, yet the company’s sales force doubled during the same period. In 1998, the company split its sales force into two teams. One team concentrated on the company’s core products – database software – while the other team was charged with selling Oracle’s data-processing applications. More than anything else, however, Oracle’s sales reps were able to handle the heavy workload because the company embraced the Internet. In 1999, 25 percent of the company’s software sales were accomplished online. </w:t>
      </w:r>
    </w:p>
    <w:p w:rsidR="00D61DFC" w:rsidRDefault="00D61DFC">
      <w:pPr>
        <w:spacing w:before="240"/>
        <w:rPr>
          <w:rFonts w:ascii="Garamond" w:hAnsi="Garamond"/>
          <w:sz w:val="24"/>
        </w:rPr>
      </w:pPr>
      <w:r>
        <w:rPr>
          <w:rFonts w:ascii="Garamond" w:hAnsi="Garamond"/>
          <w:sz w:val="24"/>
        </w:rPr>
        <w:t xml:space="preserve">As business continued to flood the company, Oracle sought to take more of its business to the Web. It invested in a new e-commerce site called OracleSalesOnline.com – later renamed Sales.Oracle.com – that enables customers to place orders directly online. The site also lets customers purchase upgrades and add users to its license. Oracle also developed another site that sales reps use to demonstrate software during phone calls with customers, who are then directed to order online. Additionally, it required sales reps to enter detailed customer data </w:t>
      </w:r>
      <w:r>
        <w:rPr>
          <w:rFonts w:ascii="Garamond" w:hAnsi="Garamond"/>
          <w:sz w:val="24"/>
        </w:rPr>
        <w:lastRenderedPageBreak/>
        <w:t xml:space="preserve">into a central system that other salespeople or executives can access. In 2001, the company integrated online customer service and support features with the Sales.Oracle.com service, calling this new site Support.Oracle.com. The company also licensed its sales and support applications to more than 10,000 companies around the world. </w:t>
      </w:r>
    </w:p>
    <w:p w:rsidR="00D61DFC" w:rsidRDefault="00D61DFC">
      <w:pPr>
        <w:spacing w:before="240"/>
        <w:rPr>
          <w:rFonts w:ascii="Garamond" w:hAnsi="Garamond"/>
          <w:sz w:val="24"/>
        </w:rPr>
      </w:pPr>
      <w:r>
        <w:rPr>
          <w:rFonts w:ascii="Garamond" w:hAnsi="Garamond"/>
          <w:sz w:val="24"/>
        </w:rPr>
        <w:t xml:space="preserve">Oracle’s network of information and its powerful software helped trim costs considerably. The company claimed in an aggressive ad campaign that it saved $1 billion in 2000 by running its own e-business software. In a specific instance, a manager noticed one day that </w:t>
      </w:r>
      <w:smartTag w:uri="urn:schemas-microsoft-com:office:smarttags" w:element="place">
        <w:smartTag w:uri="urn:schemas-microsoft-com:office:smarttags" w:element="country-region">
          <w:r>
            <w:rPr>
              <w:rFonts w:ascii="Garamond" w:hAnsi="Garamond"/>
              <w:sz w:val="24"/>
            </w:rPr>
            <w:t>U.S.</w:t>
          </w:r>
        </w:smartTag>
      </w:smartTag>
      <w:r>
        <w:rPr>
          <w:rFonts w:ascii="Garamond" w:hAnsi="Garamond"/>
          <w:sz w:val="24"/>
        </w:rPr>
        <w:t xml:space="preserve"> sales forecasts dropped $3.5 million. Using the network, the manager identified which company had changed its purchase, contacted the sales rep working with the account, who renegotiated the deal in less than 24 hours. In another example of cost-cutting, the company moved its sales and training meetings with customers from hotels and conference centers to the Web. These Web-conferences reduced costs from $325 per person to two dollars a head.      </w:t>
      </w:r>
    </w:p>
    <w:p w:rsidR="00D61DFC" w:rsidRDefault="00D61DFC">
      <w:pPr>
        <w:spacing w:before="240"/>
        <w:rPr>
          <w:rFonts w:ascii="Garamond" w:hAnsi="Garamond"/>
        </w:rPr>
      </w:pPr>
      <w:r>
        <w:rPr>
          <w:rFonts w:ascii="Garamond" w:hAnsi="Garamond"/>
          <w:sz w:val="24"/>
        </w:rPr>
        <w:t xml:space="preserve">Competitors are quick to criticize Oracle’s aggressive sales tactics. An executive from IBM criticized Oracle’s strategy of over-promising: “They take the P.T. Barnum approach to business: There’s a sucker born every minute.” Oracle’s 85 percent customer-retention rate, which is higher than either Microsoft’s or IBM’s, proves that many customers are satisfied with the company’s products and service. </w:t>
      </w:r>
    </w:p>
    <w:p w:rsidR="00D61DFC" w:rsidRDefault="00D61DFC">
      <w:pPr>
        <w:tabs>
          <w:tab w:val="left" w:pos="360"/>
        </w:tabs>
        <w:ind w:left="360" w:hanging="360"/>
        <w:rPr>
          <w:rFonts w:ascii="Garamond" w:hAnsi="Garamond"/>
          <w:sz w:val="24"/>
        </w:rPr>
      </w:pPr>
    </w:p>
    <w:p w:rsidR="00D61DFC" w:rsidRDefault="00D61DFC">
      <w:pPr>
        <w:rPr>
          <w:rFonts w:ascii="Times New Roman" w:hAnsi="Times New Roman"/>
          <w:sz w:val="24"/>
        </w:rPr>
      </w:pPr>
      <w:bookmarkStart w:id="0" w:name="_GoBack"/>
      <w:bookmarkEnd w:id="0"/>
    </w:p>
    <w:sectPr w:rsidR="00D61DFC" w:rsidSect="00355342">
      <w:headerReference w:type="even" r:id="rId8"/>
      <w:footerReference w:type="even" r:id="rId9"/>
      <w:footerReference w:type="default" r:id="rId10"/>
      <w:pgSz w:w="12240" w:h="15840"/>
      <w:pgMar w:top="1440" w:right="1800" w:bottom="1440" w:left="1800" w:header="720" w:footer="720" w:gutter="0"/>
      <w:pgNumType w:start="32"/>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1C1E" w:rsidRDefault="00A51C1E">
      <w:r>
        <w:separator/>
      </w:r>
    </w:p>
  </w:endnote>
  <w:endnote w:type="continuationSeparator" w:id="0">
    <w:p w:rsidR="00A51C1E" w:rsidRDefault="00A51C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Times">
    <w:panose1 w:val="02020603050405020304"/>
    <w:charset w:val="00"/>
    <w:family w:val="roman"/>
    <w:notTrueType/>
    <w:pitch w:val="variable"/>
    <w:sig w:usb0="00000003" w:usb1="00000000" w:usb2="00000000" w:usb3="00000000" w:csb0="00000001" w:csb1="00000000"/>
  </w:font>
  <w:font w:name="Roman 10cpi">
    <w:panose1 w:val="00000000000000000000"/>
    <w:charset w:val="00"/>
    <w:family w:val="modern"/>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5A06" w:rsidRDefault="001B5A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1B5A06" w:rsidRDefault="001B5A0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5A06" w:rsidRDefault="001B5A06">
    <w:pPr>
      <w:pStyle w:val="Footer"/>
      <w:framePr w:wrap="around" w:vAnchor="text" w:hAnchor="margin" w:xAlign="center" w:y="1"/>
      <w:rPr>
        <w:rStyle w:val="PageNumber"/>
        <w:rFonts w:ascii="Times New Roman" w:hAnsi="Times New Roman"/>
        <w:sz w:val="24"/>
      </w:rPr>
    </w:pPr>
    <w:r>
      <w:rPr>
        <w:rStyle w:val="PageNumber"/>
        <w:rFonts w:ascii="Times New Roman" w:hAnsi="Times New Roman"/>
        <w:sz w:val="24"/>
      </w:rPr>
      <w:fldChar w:fldCharType="begin"/>
    </w:r>
    <w:r>
      <w:rPr>
        <w:rStyle w:val="PageNumber"/>
        <w:rFonts w:ascii="Times New Roman" w:hAnsi="Times New Roman"/>
        <w:sz w:val="24"/>
      </w:rPr>
      <w:instrText xml:space="preserve">PAGE  </w:instrText>
    </w:r>
    <w:r>
      <w:rPr>
        <w:rStyle w:val="PageNumber"/>
        <w:rFonts w:ascii="Times New Roman" w:hAnsi="Times New Roman"/>
        <w:sz w:val="24"/>
      </w:rPr>
      <w:fldChar w:fldCharType="separate"/>
    </w:r>
    <w:r w:rsidR="00DC3AE4">
      <w:rPr>
        <w:rStyle w:val="PageNumber"/>
        <w:rFonts w:ascii="Times New Roman" w:hAnsi="Times New Roman"/>
        <w:noProof/>
        <w:sz w:val="24"/>
      </w:rPr>
      <w:t>35</w:t>
    </w:r>
    <w:r>
      <w:rPr>
        <w:rStyle w:val="PageNumber"/>
        <w:rFonts w:ascii="Times New Roman" w:hAnsi="Times New Roman"/>
        <w:sz w:val="24"/>
      </w:rPr>
      <w:fldChar w:fldCharType="end"/>
    </w:r>
  </w:p>
  <w:p w:rsidR="001B5A06" w:rsidRDefault="001B5A06">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1C1E" w:rsidRDefault="00A51C1E">
      <w:r>
        <w:separator/>
      </w:r>
    </w:p>
  </w:footnote>
  <w:footnote w:type="continuationSeparator" w:id="0">
    <w:p w:rsidR="00A51C1E" w:rsidRDefault="00A51C1E">
      <w:r>
        <w:continuationSeparator/>
      </w:r>
    </w:p>
  </w:footnote>
  <w:footnote w:id="1">
    <w:p w:rsidR="001B5A06" w:rsidRDefault="001B5A06">
      <w:pPr>
        <w:pStyle w:val="FootnoteText"/>
      </w:pPr>
      <w:r>
        <w:rPr>
          <w:rStyle w:val="FootnoteReference"/>
          <w:rFonts w:ascii="Garamond" w:hAnsi="Garamond"/>
        </w:rPr>
        <w:footnoteRef/>
      </w:r>
      <w:r>
        <w:rPr>
          <w:rFonts w:ascii="Garamond" w:hAnsi="Garamond"/>
        </w:rPr>
        <w:t xml:space="preserve"> Steve Hamm. “Oracle: Why It’s Cool Again.” </w:t>
      </w:r>
      <w:r>
        <w:rPr>
          <w:rFonts w:ascii="Garamond" w:hAnsi="Garamond"/>
          <w:i/>
        </w:rPr>
        <w:t>Business Week</w:t>
      </w:r>
      <w:r>
        <w:rPr>
          <w:rFonts w:ascii="Garamond" w:hAnsi="Garamond"/>
        </w:rPr>
        <w:t xml:space="preserve">, </w:t>
      </w:r>
      <w:smartTag w:uri="urn:schemas-microsoft-com:office:smarttags" w:element="date">
        <w:smartTagPr>
          <w:attr w:name="Year" w:val="2000"/>
          <w:attr w:name="Day" w:val="8"/>
          <w:attr w:name="Month" w:val="5"/>
        </w:smartTagPr>
        <w:r>
          <w:rPr>
            <w:rFonts w:ascii="Garamond" w:hAnsi="Garamond"/>
          </w:rPr>
          <w:t>May 8, 2000</w:t>
        </w:r>
      </w:smartTag>
      <w:r>
        <w:rPr>
          <w:rFonts w:ascii="Garamond" w:hAnsi="Garamond"/>
        </w:rPr>
        <w:t xml:space="preserve">; Michael Moeller. “Oracle: Practicing What It Preaches.” </w:t>
      </w:r>
      <w:r>
        <w:rPr>
          <w:rFonts w:ascii="Garamond" w:hAnsi="Garamond"/>
          <w:i/>
        </w:rPr>
        <w:t>Business Week</w:t>
      </w:r>
      <w:r>
        <w:rPr>
          <w:rFonts w:ascii="Garamond" w:hAnsi="Garamond"/>
        </w:rPr>
        <w:t xml:space="preserve">, </w:t>
      </w:r>
      <w:smartTag w:uri="urn:schemas-microsoft-com:office:smarttags" w:element="date">
        <w:smartTagPr>
          <w:attr w:name="Year" w:val="1999"/>
          <w:attr w:name="Day" w:val="16"/>
          <w:attr w:name="Month" w:val="8"/>
        </w:smartTagPr>
        <w:r>
          <w:rPr>
            <w:rFonts w:ascii="Garamond" w:hAnsi="Garamond"/>
          </w:rPr>
          <w:t>August 16, 1999</w:t>
        </w:r>
      </w:smartTag>
      <w:r>
        <w:rPr>
          <w:rFonts w:ascii="Garamond" w:hAnsi="Garamond"/>
        </w:rPr>
        <w:t xml:space="preserve">; Steve Hamm. “Is Oracle Finally Seeing Clearly?” </w:t>
      </w:r>
      <w:r>
        <w:rPr>
          <w:rFonts w:ascii="Garamond" w:hAnsi="Garamond"/>
          <w:i/>
        </w:rPr>
        <w:t>Business Week</w:t>
      </w:r>
      <w:r>
        <w:rPr>
          <w:rFonts w:ascii="Garamond" w:hAnsi="Garamond"/>
        </w:rPr>
        <w:t xml:space="preserve">, </w:t>
      </w:r>
      <w:smartTag w:uri="urn:schemas-microsoft-com:office:smarttags" w:element="date">
        <w:smartTagPr>
          <w:attr w:name="Year" w:val="1998"/>
          <w:attr w:name="Day" w:val="3"/>
          <w:attr w:name="Month" w:val="8"/>
        </w:smartTagPr>
        <w:r>
          <w:rPr>
            <w:rFonts w:ascii="Garamond" w:hAnsi="Garamond"/>
          </w:rPr>
          <w:t>August 3, 1998</w:t>
        </w:r>
      </w:smartTag>
      <w:r>
        <w:rPr>
          <w:rFonts w:ascii="Garamond" w:hAnsi="Garamond"/>
        </w:rPr>
        <w:t xml:space="preserve">; Mitch Wagner, “Oracle’s Savings Don’t Add Up.” </w:t>
      </w:r>
      <w:r>
        <w:rPr>
          <w:rFonts w:ascii="Garamond" w:hAnsi="Garamond"/>
          <w:i/>
        </w:rPr>
        <w:t>InternetWeek</w:t>
      </w:r>
      <w:r>
        <w:rPr>
          <w:rFonts w:ascii="Garamond" w:hAnsi="Garamond"/>
        </w:rPr>
        <w:t xml:space="preserve">, </w:t>
      </w:r>
      <w:smartTag w:uri="urn:schemas-microsoft-com:office:smarttags" w:element="date">
        <w:smartTagPr>
          <w:attr w:name="Year" w:val="2001"/>
          <w:attr w:name="Day" w:val="12"/>
          <w:attr w:name="Month" w:val="3"/>
        </w:smartTagPr>
        <w:r>
          <w:rPr>
            <w:rFonts w:ascii="Garamond" w:hAnsi="Garamond"/>
          </w:rPr>
          <w:t>March 12, 2001</w:t>
        </w:r>
      </w:smartTag>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5A06" w:rsidRDefault="001B5A06">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1B5A06" w:rsidRDefault="001B5A0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5E277D"/>
    <w:multiLevelType w:val="hybridMultilevel"/>
    <w:tmpl w:val="AF1AF0DA"/>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
    <w:nsid w:val="26B368D7"/>
    <w:multiLevelType w:val="hybridMultilevel"/>
    <w:tmpl w:val="BE88100E"/>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nsid w:val="31302883"/>
    <w:multiLevelType w:val="hybridMultilevel"/>
    <w:tmpl w:val="188AEE3A"/>
    <w:lvl w:ilvl="0">
      <w:start w:val="1"/>
      <w:numFmt w:val="decimal"/>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3">
    <w:nsid w:val="5FE80367"/>
    <w:multiLevelType w:val="hybridMultilevel"/>
    <w:tmpl w:val="5F3AB40E"/>
    <w:lvl w:ilvl="0">
      <w:start w:val="3"/>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
    <w:nsid w:val="60ED3150"/>
    <w:multiLevelType w:val="hybridMultilevel"/>
    <w:tmpl w:val="AD2E50E4"/>
    <w:lvl w:ilvl="0">
      <w:start w:val="3"/>
      <w:numFmt w:val="decimal"/>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5">
    <w:nsid w:val="688032B4"/>
    <w:multiLevelType w:val="hybridMultilevel"/>
    <w:tmpl w:val="3A9E3EB6"/>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abstractNumId w:val="3"/>
  </w:num>
  <w:num w:numId="2">
    <w:abstractNumId w:val="0"/>
  </w:num>
  <w:num w:numId="3">
    <w:abstractNumId w:val="2"/>
  </w:num>
  <w:num w:numId="4">
    <w:abstractNumId w:val="5"/>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56FB"/>
    <w:rsid w:val="001B5A06"/>
    <w:rsid w:val="00355342"/>
    <w:rsid w:val="004D20D0"/>
    <w:rsid w:val="0083611E"/>
    <w:rsid w:val="008E2CA8"/>
    <w:rsid w:val="00A51C1E"/>
    <w:rsid w:val="00CA73EE"/>
    <w:rsid w:val="00D52A63"/>
    <w:rsid w:val="00D61DFC"/>
    <w:rsid w:val="00DC3AE4"/>
    <w:rsid w:val="00E33FA4"/>
    <w:rsid w:val="00ED44C3"/>
    <w:rsid w:val="00FC56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date"/>
  <w:smartTagType w:namespaceuri="urn:schemas-microsoft-com:office:smarttags" w:name="address"/>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Roman 10cpi" w:hAnsi="Roman 10cpi"/>
      <w:lang w:val="en-US" w:eastAsia="en-US"/>
    </w:rPr>
  </w:style>
  <w:style w:type="paragraph" w:styleId="Heading1">
    <w:name w:val="heading 1"/>
    <w:basedOn w:val="Normal"/>
    <w:next w:val="Normal"/>
    <w:qFormat/>
    <w:pPr>
      <w:keepNext/>
      <w:tabs>
        <w:tab w:val="left" w:pos="360"/>
      </w:tabs>
      <w:outlineLvl w:val="0"/>
    </w:pPr>
    <w:rPr>
      <w:rFonts w:ascii="Times New Roman" w:hAnsi="Times New Roman"/>
      <w:sz w:val="24"/>
      <w:szCs w:val="24"/>
      <w:u w:val="single"/>
    </w:rPr>
  </w:style>
  <w:style w:type="paragraph" w:styleId="Heading2">
    <w:name w:val="heading 2"/>
    <w:basedOn w:val="Normal"/>
    <w:next w:val="Normal"/>
    <w:qFormat/>
    <w:pPr>
      <w:keepNext/>
      <w:tabs>
        <w:tab w:val="left" w:pos="360"/>
      </w:tabs>
      <w:outlineLvl w:val="1"/>
    </w:pPr>
    <w:rPr>
      <w:rFonts w:ascii="Times New Roman" w:hAnsi="Times New Roman"/>
      <w:sz w:val="24"/>
      <w:szCs w:val="24"/>
    </w:rPr>
  </w:style>
  <w:style w:type="paragraph" w:styleId="Heading3">
    <w:name w:val="heading 3"/>
    <w:basedOn w:val="Normal"/>
    <w:next w:val="Normal"/>
    <w:qFormat/>
    <w:pPr>
      <w:keepNext/>
      <w:tabs>
        <w:tab w:val="left" w:pos="360"/>
      </w:tabs>
      <w:ind w:left="720" w:right="720"/>
      <w:outlineLvl w:val="2"/>
    </w:pPr>
    <w:rPr>
      <w:rFonts w:ascii="Times New Roman" w:hAnsi="Times New Roman"/>
      <w:b/>
      <w:bCs/>
      <w:sz w:val="24"/>
      <w:szCs w:val="24"/>
      <w:u w:val="single"/>
    </w:rPr>
  </w:style>
  <w:style w:type="paragraph" w:styleId="Heading4">
    <w:name w:val="heading 4"/>
    <w:basedOn w:val="Normal"/>
    <w:next w:val="Normal"/>
    <w:qFormat/>
    <w:pPr>
      <w:keepNext/>
      <w:tabs>
        <w:tab w:val="left" w:pos="360"/>
      </w:tabs>
      <w:outlineLvl w:val="3"/>
    </w:pPr>
    <w:rPr>
      <w:rFonts w:ascii="Times New Roman" w:hAnsi="Times New Roman"/>
      <w:b/>
      <w:bCs/>
      <w:sz w:val="24"/>
      <w:szCs w:val="24"/>
      <w:u w:val="single"/>
    </w:rPr>
  </w:style>
  <w:style w:type="paragraph" w:styleId="Heading5">
    <w:name w:val="heading 5"/>
    <w:basedOn w:val="Normal"/>
    <w:next w:val="Normal"/>
    <w:qFormat/>
    <w:pPr>
      <w:keepNext/>
      <w:jc w:val="center"/>
      <w:outlineLvl w:val="4"/>
    </w:pPr>
    <w:rPr>
      <w:rFonts w:ascii="Times New Roman" w:hAnsi="Times New Roman"/>
      <w:b/>
      <w:bCs/>
      <w:sz w:val="24"/>
      <w:szCs w:val="24"/>
    </w:rPr>
  </w:style>
  <w:style w:type="paragraph" w:styleId="Heading6">
    <w:name w:val="heading 6"/>
    <w:basedOn w:val="Normal"/>
    <w:next w:val="Normal"/>
    <w:qFormat/>
    <w:pPr>
      <w:keepNext/>
      <w:ind w:left="4320" w:firstLine="720"/>
      <w:outlineLvl w:val="5"/>
    </w:pPr>
    <w:rPr>
      <w:rFonts w:ascii="Times New Roman" w:hAnsi="Times New Roman"/>
      <w:sz w:val="24"/>
      <w:szCs w:val="24"/>
    </w:rPr>
  </w:style>
  <w:style w:type="paragraph" w:styleId="Heading7">
    <w:name w:val="heading 7"/>
    <w:basedOn w:val="Normal"/>
    <w:next w:val="Normal"/>
    <w:qFormat/>
    <w:pPr>
      <w:keepNext/>
      <w:ind w:left="1440" w:firstLine="720"/>
      <w:outlineLvl w:val="6"/>
    </w:pPr>
    <w:rPr>
      <w:rFonts w:ascii="Times New Roman" w:hAnsi="Times New Roman"/>
      <w:sz w:val="24"/>
      <w:szCs w:val="24"/>
    </w:rPr>
  </w:style>
  <w:style w:type="paragraph" w:styleId="Heading8">
    <w:name w:val="heading 8"/>
    <w:basedOn w:val="Normal"/>
    <w:next w:val="Normal"/>
    <w:qFormat/>
    <w:pPr>
      <w:keepNext/>
      <w:outlineLvl w:val="7"/>
    </w:pPr>
    <w:rPr>
      <w:rFonts w:ascii="Garamond" w:hAnsi="Garamond"/>
      <w:sz w:val="28"/>
      <w:szCs w:val="28"/>
    </w:rPr>
  </w:style>
  <w:style w:type="paragraph" w:styleId="Heading9">
    <w:name w:val="heading 9"/>
    <w:basedOn w:val="Normal"/>
    <w:next w:val="Normal"/>
    <w:qFormat/>
    <w:pPr>
      <w:keepNext/>
      <w:tabs>
        <w:tab w:val="left" w:pos="360"/>
      </w:tabs>
      <w:ind w:left="360" w:hanging="360"/>
      <w:outlineLvl w:val="8"/>
    </w:pPr>
    <w:rPr>
      <w:rFonts w:ascii="Garamond" w:hAnsi="Garamond"/>
      <w:b/>
      <w:bCs/>
      <w:sz w:val="24"/>
      <w:szCs w:val="24"/>
      <w:u w:val="single"/>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2">
    <w:name w:val="Body Text 2"/>
    <w:basedOn w:val="Normal"/>
    <w:pPr>
      <w:tabs>
        <w:tab w:val="left" w:pos="360"/>
      </w:tabs>
      <w:ind w:left="360" w:hanging="360"/>
    </w:pPr>
    <w:rPr>
      <w:rFonts w:ascii="Garamond" w:hAnsi="Garamond"/>
      <w:sz w:val="24"/>
      <w:szCs w:val="24"/>
    </w:rPr>
  </w:style>
  <w:style w:type="paragraph" w:styleId="BodyTextIndent2">
    <w:name w:val="Body Text Indent 2"/>
    <w:basedOn w:val="Normal"/>
    <w:pPr>
      <w:ind w:left="720" w:firstLine="720"/>
    </w:pPr>
    <w:rPr>
      <w:rFonts w:ascii="Times New Roman" w:hAnsi="Times New Roman"/>
      <w:sz w:val="24"/>
      <w:szCs w:val="24"/>
    </w:rPr>
  </w:style>
  <w:style w:type="paragraph" w:styleId="Title">
    <w:name w:val="Title"/>
    <w:basedOn w:val="Normal"/>
    <w:qFormat/>
    <w:pPr>
      <w:jc w:val="center"/>
    </w:pPr>
    <w:rPr>
      <w:rFonts w:ascii="Times New Roman" w:hAnsi="Times New Roman"/>
      <w:b/>
      <w:bCs/>
      <w:sz w:val="24"/>
      <w:szCs w:val="24"/>
    </w:rPr>
  </w:style>
  <w:style w:type="paragraph" w:styleId="BodyTextIndent3">
    <w:name w:val="Body Text Indent 3"/>
    <w:basedOn w:val="Normal"/>
    <w:pPr>
      <w:ind w:left="1440" w:hanging="720"/>
    </w:pPr>
    <w:rPr>
      <w:rFonts w:ascii="Times New Roman" w:hAnsi="Times New Roman"/>
      <w:sz w:val="24"/>
      <w:szCs w:val="24"/>
    </w:rPr>
  </w:style>
  <w:style w:type="paragraph" w:styleId="BodyText">
    <w:name w:val="Body Text"/>
    <w:basedOn w:val="Normal"/>
    <w:pPr>
      <w:tabs>
        <w:tab w:val="left" w:pos="360"/>
      </w:tabs>
    </w:pPr>
    <w:rPr>
      <w:rFonts w:ascii="Times New Roman" w:hAnsi="Times New Roman"/>
      <w:sz w:val="24"/>
      <w:szCs w:val="24"/>
    </w:rPr>
  </w:style>
  <w:style w:type="paragraph" w:styleId="DocumentMap">
    <w:name w:val="Document Map"/>
    <w:basedOn w:val="Normal"/>
    <w:semiHidden/>
    <w:pPr>
      <w:shd w:val="clear" w:color="auto" w:fill="000080"/>
    </w:pPr>
    <w:rPr>
      <w:rFonts w:ascii="Tahoma" w:hAnsi="Tahoma" w:cs="Tahoma"/>
    </w:rPr>
  </w:style>
  <w:style w:type="paragraph" w:styleId="BlockText">
    <w:name w:val="Block Text"/>
    <w:basedOn w:val="Normal"/>
    <w:pPr>
      <w:tabs>
        <w:tab w:val="left" w:pos="360"/>
      </w:tabs>
      <w:ind w:left="720" w:right="720"/>
    </w:pPr>
    <w:rPr>
      <w:rFonts w:ascii="Times New Roman" w:hAnsi="Times New Roman"/>
      <w:sz w:val="24"/>
      <w:szCs w:val="24"/>
    </w:rPr>
  </w:style>
  <w:style w:type="paragraph" w:styleId="BodyText20">
    <w:name w:val="Body Text 2"/>
    <w:basedOn w:val="Normal"/>
    <w:pPr>
      <w:tabs>
        <w:tab w:val="left" w:pos="360"/>
      </w:tabs>
      <w:ind w:left="360" w:hanging="360"/>
    </w:pPr>
    <w:rPr>
      <w:rFonts w:ascii="Times New Roman" w:hAnsi="Times New Roman"/>
      <w:sz w:val="24"/>
      <w:szCs w:val="24"/>
    </w:rPr>
  </w:style>
  <w:style w:type="paragraph" w:styleId="BodyText21">
    <w:name w:val="Body Text 2"/>
    <w:basedOn w:val="Normal"/>
    <w:pPr>
      <w:ind w:left="720"/>
    </w:pPr>
    <w:rPr>
      <w:rFonts w:ascii="Times New Roman" w:hAnsi="Times New Roman"/>
      <w:sz w:val="24"/>
      <w:szCs w:val="24"/>
    </w:rPr>
  </w:style>
  <w:style w:type="paragraph" w:styleId="BodyTextIndent">
    <w:name w:val="Body Text Indent"/>
    <w:basedOn w:val="Normal"/>
    <w:pPr>
      <w:spacing w:before="120" w:line="240" w:lineRule="atLeast"/>
      <w:ind w:left="720" w:hanging="720"/>
    </w:pPr>
    <w:rPr>
      <w:rFonts w:ascii="Garamond" w:hAnsi="Garamond"/>
      <w:sz w:val="24"/>
      <w:szCs w:val="24"/>
    </w:rPr>
  </w:style>
  <w:style w:type="character" w:styleId="Hyperlink">
    <w:name w:val="Hyperlink"/>
    <w:basedOn w:val="DefaultParagraphFont"/>
    <w:rPr>
      <w:color w:val="0000FF"/>
      <w:u w:val="single"/>
    </w:rPr>
  </w:style>
  <w:style w:type="paragraph" w:styleId="Header">
    <w:name w:val="header"/>
    <w:basedOn w:val="Normal"/>
    <w:pPr>
      <w:tabs>
        <w:tab w:val="center" w:pos="4320"/>
        <w:tab w:val="right" w:pos="8640"/>
      </w:tabs>
    </w:pPr>
  </w:style>
  <w:style w:type="character" w:styleId="PageNumber">
    <w:name w:val="page number"/>
    <w:basedOn w:val="DefaultParagraphFont"/>
  </w:style>
  <w:style w:type="paragraph" w:styleId="BodyText3">
    <w:name w:val="Body Text 3"/>
    <w:basedOn w:val="Normal"/>
    <w:pPr>
      <w:spacing w:line="240" w:lineRule="exact"/>
    </w:pPr>
    <w:rPr>
      <w:rFonts w:ascii="Garamond" w:hAnsi="Garamond"/>
      <w:b/>
      <w:bCs/>
      <w:sz w:val="24"/>
      <w:szCs w:val="24"/>
    </w:rPr>
  </w:style>
  <w:style w:type="paragraph" w:styleId="Footer">
    <w:name w:val="footer"/>
    <w:basedOn w:val="Normal"/>
    <w:pPr>
      <w:tabs>
        <w:tab w:val="center" w:pos="4320"/>
        <w:tab w:val="right" w:pos="8640"/>
      </w:tabs>
    </w:pPr>
  </w:style>
  <w:style w:type="paragraph" w:styleId="FootnoteText">
    <w:name w:val="footnote text"/>
    <w:basedOn w:val="Normal"/>
    <w:semiHidden/>
  </w:style>
  <w:style w:type="character" w:styleId="FootnoteReference">
    <w:name w:val="footnote reference"/>
    <w:basedOn w:val="DefaultParagraphFont"/>
    <w:semiHidden/>
    <w:rPr>
      <w:vertAlign w:val="superscript"/>
    </w:rPr>
  </w:style>
  <w:style w:type="character" w:customStyle="1" w:styleId="vitstoryheadline2">
    <w:name w:val="vitstoryheadline2"/>
    <w:basedOn w:val="DefaultParagraphFont"/>
    <w:rsid w:val="0083611E"/>
    <w:rPr>
      <w:vanish w:val="0"/>
      <w:webHidden w:val="0"/>
      <w:specVanish w:val="0"/>
    </w:rPr>
  </w:style>
  <w:style w:type="paragraph" w:customStyle="1" w:styleId="TableColumns31">
    <w:name w:val="Table Columns 31"/>
    <w:basedOn w:val="z-TopofForm"/>
    <w:rsid w:val="0083611E"/>
    <w:pPr>
      <w:pBdr>
        <w:bottom w:val="none" w:sz="0" w:space="0" w:color="auto"/>
      </w:pBdr>
      <w:spacing w:before="400" w:line="280" w:lineRule="exact"/>
      <w:ind w:left="840" w:right="840"/>
    </w:pPr>
    <w:rPr>
      <w:rFonts w:ascii="Times New Roman" w:hAnsi="Times New Roman" w:cs="Times New Roman"/>
      <w:noProof/>
      <w:vanish w:val="0"/>
      <w:sz w:val="24"/>
      <w:szCs w:val="20"/>
    </w:rPr>
  </w:style>
  <w:style w:type="paragraph" w:styleId="z-TopofForm">
    <w:name w:val="HTML Top of Form"/>
    <w:basedOn w:val="Normal"/>
    <w:next w:val="Normal"/>
    <w:hidden/>
    <w:rsid w:val="0083611E"/>
    <w:pPr>
      <w:pBdr>
        <w:bottom w:val="single" w:sz="6" w:space="1" w:color="auto"/>
      </w:pBdr>
      <w:jc w:val="center"/>
    </w:pPr>
    <w:rPr>
      <w:rFonts w:ascii="Arial" w:hAnsi="Arial" w:cs="Arial"/>
      <w:vanish/>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Roman 10cpi" w:hAnsi="Roman 10cpi"/>
      <w:lang w:val="en-US" w:eastAsia="en-US"/>
    </w:rPr>
  </w:style>
  <w:style w:type="paragraph" w:styleId="Heading1">
    <w:name w:val="heading 1"/>
    <w:basedOn w:val="Normal"/>
    <w:next w:val="Normal"/>
    <w:qFormat/>
    <w:pPr>
      <w:keepNext/>
      <w:tabs>
        <w:tab w:val="left" w:pos="360"/>
      </w:tabs>
      <w:outlineLvl w:val="0"/>
    </w:pPr>
    <w:rPr>
      <w:rFonts w:ascii="Times New Roman" w:hAnsi="Times New Roman"/>
      <w:sz w:val="24"/>
      <w:szCs w:val="24"/>
      <w:u w:val="single"/>
    </w:rPr>
  </w:style>
  <w:style w:type="paragraph" w:styleId="Heading2">
    <w:name w:val="heading 2"/>
    <w:basedOn w:val="Normal"/>
    <w:next w:val="Normal"/>
    <w:qFormat/>
    <w:pPr>
      <w:keepNext/>
      <w:tabs>
        <w:tab w:val="left" w:pos="360"/>
      </w:tabs>
      <w:outlineLvl w:val="1"/>
    </w:pPr>
    <w:rPr>
      <w:rFonts w:ascii="Times New Roman" w:hAnsi="Times New Roman"/>
      <w:sz w:val="24"/>
      <w:szCs w:val="24"/>
    </w:rPr>
  </w:style>
  <w:style w:type="paragraph" w:styleId="Heading3">
    <w:name w:val="heading 3"/>
    <w:basedOn w:val="Normal"/>
    <w:next w:val="Normal"/>
    <w:qFormat/>
    <w:pPr>
      <w:keepNext/>
      <w:tabs>
        <w:tab w:val="left" w:pos="360"/>
      </w:tabs>
      <w:ind w:left="720" w:right="720"/>
      <w:outlineLvl w:val="2"/>
    </w:pPr>
    <w:rPr>
      <w:rFonts w:ascii="Times New Roman" w:hAnsi="Times New Roman"/>
      <w:b/>
      <w:bCs/>
      <w:sz w:val="24"/>
      <w:szCs w:val="24"/>
      <w:u w:val="single"/>
    </w:rPr>
  </w:style>
  <w:style w:type="paragraph" w:styleId="Heading4">
    <w:name w:val="heading 4"/>
    <w:basedOn w:val="Normal"/>
    <w:next w:val="Normal"/>
    <w:qFormat/>
    <w:pPr>
      <w:keepNext/>
      <w:tabs>
        <w:tab w:val="left" w:pos="360"/>
      </w:tabs>
      <w:outlineLvl w:val="3"/>
    </w:pPr>
    <w:rPr>
      <w:rFonts w:ascii="Times New Roman" w:hAnsi="Times New Roman"/>
      <w:b/>
      <w:bCs/>
      <w:sz w:val="24"/>
      <w:szCs w:val="24"/>
      <w:u w:val="single"/>
    </w:rPr>
  </w:style>
  <w:style w:type="paragraph" w:styleId="Heading5">
    <w:name w:val="heading 5"/>
    <w:basedOn w:val="Normal"/>
    <w:next w:val="Normal"/>
    <w:qFormat/>
    <w:pPr>
      <w:keepNext/>
      <w:jc w:val="center"/>
      <w:outlineLvl w:val="4"/>
    </w:pPr>
    <w:rPr>
      <w:rFonts w:ascii="Times New Roman" w:hAnsi="Times New Roman"/>
      <w:b/>
      <w:bCs/>
      <w:sz w:val="24"/>
      <w:szCs w:val="24"/>
    </w:rPr>
  </w:style>
  <w:style w:type="paragraph" w:styleId="Heading6">
    <w:name w:val="heading 6"/>
    <w:basedOn w:val="Normal"/>
    <w:next w:val="Normal"/>
    <w:qFormat/>
    <w:pPr>
      <w:keepNext/>
      <w:ind w:left="4320" w:firstLine="720"/>
      <w:outlineLvl w:val="5"/>
    </w:pPr>
    <w:rPr>
      <w:rFonts w:ascii="Times New Roman" w:hAnsi="Times New Roman"/>
      <w:sz w:val="24"/>
      <w:szCs w:val="24"/>
    </w:rPr>
  </w:style>
  <w:style w:type="paragraph" w:styleId="Heading7">
    <w:name w:val="heading 7"/>
    <w:basedOn w:val="Normal"/>
    <w:next w:val="Normal"/>
    <w:qFormat/>
    <w:pPr>
      <w:keepNext/>
      <w:ind w:left="1440" w:firstLine="720"/>
      <w:outlineLvl w:val="6"/>
    </w:pPr>
    <w:rPr>
      <w:rFonts w:ascii="Times New Roman" w:hAnsi="Times New Roman"/>
      <w:sz w:val="24"/>
      <w:szCs w:val="24"/>
    </w:rPr>
  </w:style>
  <w:style w:type="paragraph" w:styleId="Heading8">
    <w:name w:val="heading 8"/>
    <w:basedOn w:val="Normal"/>
    <w:next w:val="Normal"/>
    <w:qFormat/>
    <w:pPr>
      <w:keepNext/>
      <w:outlineLvl w:val="7"/>
    </w:pPr>
    <w:rPr>
      <w:rFonts w:ascii="Garamond" w:hAnsi="Garamond"/>
      <w:sz w:val="28"/>
      <w:szCs w:val="28"/>
    </w:rPr>
  </w:style>
  <w:style w:type="paragraph" w:styleId="Heading9">
    <w:name w:val="heading 9"/>
    <w:basedOn w:val="Normal"/>
    <w:next w:val="Normal"/>
    <w:qFormat/>
    <w:pPr>
      <w:keepNext/>
      <w:tabs>
        <w:tab w:val="left" w:pos="360"/>
      </w:tabs>
      <w:ind w:left="360" w:hanging="360"/>
      <w:outlineLvl w:val="8"/>
    </w:pPr>
    <w:rPr>
      <w:rFonts w:ascii="Garamond" w:hAnsi="Garamond"/>
      <w:b/>
      <w:bCs/>
      <w:sz w:val="24"/>
      <w:szCs w:val="24"/>
      <w:u w:val="single"/>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2">
    <w:name w:val="Body Text 2"/>
    <w:basedOn w:val="Normal"/>
    <w:pPr>
      <w:tabs>
        <w:tab w:val="left" w:pos="360"/>
      </w:tabs>
      <w:ind w:left="360" w:hanging="360"/>
    </w:pPr>
    <w:rPr>
      <w:rFonts w:ascii="Garamond" w:hAnsi="Garamond"/>
      <w:sz w:val="24"/>
      <w:szCs w:val="24"/>
    </w:rPr>
  </w:style>
  <w:style w:type="paragraph" w:styleId="BodyTextIndent2">
    <w:name w:val="Body Text Indent 2"/>
    <w:basedOn w:val="Normal"/>
    <w:pPr>
      <w:ind w:left="720" w:firstLine="720"/>
    </w:pPr>
    <w:rPr>
      <w:rFonts w:ascii="Times New Roman" w:hAnsi="Times New Roman"/>
      <w:sz w:val="24"/>
      <w:szCs w:val="24"/>
    </w:rPr>
  </w:style>
  <w:style w:type="paragraph" w:styleId="Title">
    <w:name w:val="Title"/>
    <w:basedOn w:val="Normal"/>
    <w:qFormat/>
    <w:pPr>
      <w:jc w:val="center"/>
    </w:pPr>
    <w:rPr>
      <w:rFonts w:ascii="Times New Roman" w:hAnsi="Times New Roman"/>
      <w:b/>
      <w:bCs/>
      <w:sz w:val="24"/>
      <w:szCs w:val="24"/>
    </w:rPr>
  </w:style>
  <w:style w:type="paragraph" w:styleId="BodyTextIndent3">
    <w:name w:val="Body Text Indent 3"/>
    <w:basedOn w:val="Normal"/>
    <w:pPr>
      <w:ind w:left="1440" w:hanging="720"/>
    </w:pPr>
    <w:rPr>
      <w:rFonts w:ascii="Times New Roman" w:hAnsi="Times New Roman"/>
      <w:sz w:val="24"/>
      <w:szCs w:val="24"/>
    </w:rPr>
  </w:style>
  <w:style w:type="paragraph" w:styleId="BodyText">
    <w:name w:val="Body Text"/>
    <w:basedOn w:val="Normal"/>
    <w:pPr>
      <w:tabs>
        <w:tab w:val="left" w:pos="360"/>
      </w:tabs>
    </w:pPr>
    <w:rPr>
      <w:rFonts w:ascii="Times New Roman" w:hAnsi="Times New Roman"/>
      <w:sz w:val="24"/>
      <w:szCs w:val="24"/>
    </w:rPr>
  </w:style>
  <w:style w:type="paragraph" w:styleId="DocumentMap">
    <w:name w:val="Document Map"/>
    <w:basedOn w:val="Normal"/>
    <w:semiHidden/>
    <w:pPr>
      <w:shd w:val="clear" w:color="auto" w:fill="000080"/>
    </w:pPr>
    <w:rPr>
      <w:rFonts w:ascii="Tahoma" w:hAnsi="Tahoma" w:cs="Tahoma"/>
    </w:rPr>
  </w:style>
  <w:style w:type="paragraph" w:styleId="BlockText">
    <w:name w:val="Block Text"/>
    <w:basedOn w:val="Normal"/>
    <w:pPr>
      <w:tabs>
        <w:tab w:val="left" w:pos="360"/>
      </w:tabs>
      <w:ind w:left="720" w:right="720"/>
    </w:pPr>
    <w:rPr>
      <w:rFonts w:ascii="Times New Roman" w:hAnsi="Times New Roman"/>
      <w:sz w:val="24"/>
      <w:szCs w:val="24"/>
    </w:rPr>
  </w:style>
  <w:style w:type="paragraph" w:styleId="BodyText20">
    <w:name w:val="Body Text 2"/>
    <w:basedOn w:val="Normal"/>
    <w:pPr>
      <w:tabs>
        <w:tab w:val="left" w:pos="360"/>
      </w:tabs>
      <w:ind w:left="360" w:hanging="360"/>
    </w:pPr>
    <w:rPr>
      <w:rFonts w:ascii="Times New Roman" w:hAnsi="Times New Roman"/>
      <w:sz w:val="24"/>
      <w:szCs w:val="24"/>
    </w:rPr>
  </w:style>
  <w:style w:type="paragraph" w:styleId="BodyText21">
    <w:name w:val="Body Text 2"/>
    <w:basedOn w:val="Normal"/>
    <w:pPr>
      <w:ind w:left="720"/>
    </w:pPr>
    <w:rPr>
      <w:rFonts w:ascii="Times New Roman" w:hAnsi="Times New Roman"/>
      <w:sz w:val="24"/>
      <w:szCs w:val="24"/>
    </w:rPr>
  </w:style>
  <w:style w:type="paragraph" w:styleId="BodyTextIndent">
    <w:name w:val="Body Text Indent"/>
    <w:basedOn w:val="Normal"/>
    <w:pPr>
      <w:spacing w:before="120" w:line="240" w:lineRule="atLeast"/>
      <w:ind w:left="720" w:hanging="720"/>
    </w:pPr>
    <w:rPr>
      <w:rFonts w:ascii="Garamond" w:hAnsi="Garamond"/>
      <w:sz w:val="24"/>
      <w:szCs w:val="24"/>
    </w:rPr>
  </w:style>
  <w:style w:type="character" w:styleId="Hyperlink">
    <w:name w:val="Hyperlink"/>
    <w:basedOn w:val="DefaultParagraphFont"/>
    <w:rPr>
      <w:color w:val="0000FF"/>
      <w:u w:val="single"/>
    </w:rPr>
  </w:style>
  <w:style w:type="paragraph" w:styleId="Header">
    <w:name w:val="header"/>
    <w:basedOn w:val="Normal"/>
    <w:pPr>
      <w:tabs>
        <w:tab w:val="center" w:pos="4320"/>
        <w:tab w:val="right" w:pos="8640"/>
      </w:tabs>
    </w:pPr>
  </w:style>
  <w:style w:type="character" w:styleId="PageNumber">
    <w:name w:val="page number"/>
    <w:basedOn w:val="DefaultParagraphFont"/>
  </w:style>
  <w:style w:type="paragraph" w:styleId="BodyText3">
    <w:name w:val="Body Text 3"/>
    <w:basedOn w:val="Normal"/>
    <w:pPr>
      <w:spacing w:line="240" w:lineRule="exact"/>
    </w:pPr>
    <w:rPr>
      <w:rFonts w:ascii="Garamond" w:hAnsi="Garamond"/>
      <w:b/>
      <w:bCs/>
      <w:sz w:val="24"/>
      <w:szCs w:val="24"/>
    </w:rPr>
  </w:style>
  <w:style w:type="paragraph" w:styleId="Footer">
    <w:name w:val="footer"/>
    <w:basedOn w:val="Normal"/>
    <w:pPr>
      <w:tabs>
        <w:tab w:val="center" w:pos="4320"/>
        <w:tab w:val="right" w:pos="8640"/>
      </w:tabs>
    </w:pPr>
  </w:style>
  <w:style w:type="paragraph" w:styleId="FootnoteText">
    <w:name w:val="footnote text"/>
    <w:basedOn w:val="Normal"/>
    <w:semiHidden/>
  </w:style>
  <w:style w:type="character" w:styleId="FootnoteReference">
    <w:name w:val="footnote reference"/>
    <w:basedOn w:val="DefaultParagraphFont"/>
    <w:semiHidden/>
    <w:rPr>
      <w:vertAlign w:val="superscript"/>
    </w:rPr>
  </w:style>
  <w:style w:type="character" w:customStyle="1" w:styleId="vitstoryheadline2">
    <w:name w:val="vitstoryheadline2"/>
    <w:basedOn w:val="DefaultParagraphFont"/>
    <w:rsid w:val="0083611E"/>
    <w:rPr>
      <w:vanish w:val="0"/>
      <w:webHidden w:val="0"/>
      <w:specVanish w:val="0"/>
    </w:rPr>
  </w:style>
  <w:style w:type="paragraph" w:customStyle="1" w:styleId="TableColumns31">
    <w:name w:val="Table Columns 31"/>
    <w:basedOn w:val="z-TopofForm"/>
    <w:rsid w:val="0083611E"/>
    <w:pPr>
      <w:pBdr>
        <w:bottom w:val="none" w:sz="0" w:space="0" w:color="auto"/>
      </w:pBdr>
      <w:spacing w:before="400" w:line="280" w:lineRule="exact"/>
      <w:ind w:left="840" w:right="840"/>
    </w:pPr>
    <w:rPr>
      <w:rFonts w:ascii="Times New Roman" w:hAnsi="Times New Roman" w:cs="Times New Roman"/>
      <w:noProof/>
      <w:vanish w:val="0"/>
      <w:sz w:val="24"/>
      <w:szCs w:val="20"/>
    </w:rPr>
  </w:style>
  <w:style w:type="paragraph" w:styleId="z-TopofForm">
    <w:name w:val="HTML Top of Form"/>
    <w:basedOn w:val="Normal"/>
    <w:next w:val="Normal"/>
    <w:hidden/>
    <w:rsid w:val="0083611E"/>
    <w:pPr>
      <w:pBdr>
        <w:bottom w:val="single" w:sz="6" w:space="1" w:color="auto"/>
      </w:pBdr>
      <w:jc w:val="center"/>
    </w:pPr>
    <w:rPr>
      <w:rFonts w:ascii="Arial"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1186</Words>
  <Characters>6762</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Sample Course Outline – 30 Sessions</vt:lpstr>
    </vt:vector>
  </TitlesOfParts>
  <Company>Dartmouth College</Company>
  <LinksUpToDate>false</LinksUpToDate>
  <CharactersWithSpaces>7933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Course Outline – 30 Sessions</dc:title>
  <dc:subject/>
  <dc:creator>Wake Forest University</dc:creator>
  <cp:keywords/>
  <dc:description/>
  <cp:lastModifiedBy>ZEENAT JABBAR</cp:lastModifiedBy>
  <cp:revision>2</cp:revision>
  <cp:lastPrinted>2002-07-16T08:50:00Z</cp:lastPrinted>
  <dcterms:created xsi:type="dcterms:W3CDTF">2013-06-16T11:33:00Z</dcterms:created>
  <dcterms:modified xsi:type="dcterms:W3CDTF">2013-06-16T11:33:00Z</dcterms:modified>
</cp:coreProperties>
</file>