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CE8" w:rsidRDefault="0019259A">
      <w:pPr>
        <w:pStyle w:val="Title"/>
        <w:tabs>
          <w:tab w:val="left" w:pos="360"/>
        </w:tabs>
        <w:rPr>
          <w:rFonts w:ascii="Garamond" w:hAnsi="Garamond"/>
        </w:rPr>
      </w:pPr>
      <w:r>
        <w:rPr>
          <w:rFonts w:ascii="Garamond" w:hAnsi="Garamond"/>
        </w:rPr>
        <w:t>LECTURE 2</w:t>
      </w:r>
    </w:p>
    <w:p w:rsidR="00933CE8" w:rsidRDefault="00933CE8">
      <w:pPr>
        <w:tabs>
          <w:tab w:val="left" w:pos="360"/>
        </w:tabs>
        <w:jc w:val="center"/>
        <w:rPr>
          <w:rFonts w:ascii="Garamond" w:hAnsi="Garamond"/>
          <w:b/>
          <w:sz w:val="24"/>
        </w:rPr>
      </w:pPr>
      <w:r>
        <w:rPr>
          <w:rFonts w:ascii="Garamond" w:hAnsi="Garamond"/>
          <w:b/>
          <w:sz w:val="24"/>
        </w:rPr>
        <w:t>Choosing Elements to Build Brand Equity</w:t>
      </w:r>
    </w:p>
    <w:p w:rsidR="00933CE8" w:rsidRDefault="00933CE8">
      <w:pPr>
        <w:tabs>
          <w:tab w:val="left" w:pos="360"/>
        </w:tabs>
        <w:rPr>
          <w:rFonts w:ascii="Garamond" w:hAnsi="Garamond"/>
          <w:sz w:val="24"/>
        </w:rPr>
      </w:pPr>
    </w:p>
    <w:p w:rsidR="00933CE8" w:rsidRDefault="00933CE8">
      <w:pPr>
        <w:tabs>
          <w:tab w:val="left" w:pos="360"/>
        </w:tabs>
        <w:rPr>
          <w:rFonts w:ascii="Garamond" w:hAnsi="Garamond"/>
          <w:sz w:val="24"/>
        </w:rPr>
      </w:pPr>
    </w:p>
    <w:p w:rsidR="00933CE8" w:rsidRDefault="00933CE8">
      <w:pPr>
        <w:pStyle w:val="Heading2"/>
        <w:rPr>
          <w:rFonts w:ascii="Garamond" w:hAnsi="Garamond"/>
          <w:u w:val="single"/>
        </w:rPr>
      </w:pPr>
      <w:r>
        <w:rPr>
          <w:rFonts w:ascii="Garamond" w:hAnsi="Garamond"/>
          <w:b/>
          <w:u w:val="single"/>
        </w:rPr>
        <w:t>Overview</w:t>
      </w:r>
    </w:p>
    <w:p w:rsidR="00933CE8" w:rsidRDefault="0019259A">
      <w:pPr>
        <w:tabs>
          <w:tab w:val="left" w:pos="360"/>
        </w:tabs>
        <w:rPr>
          <w:rFonts w:ascii="Garamond" w:hAnsi="Garamond"/>
          <w:sz w:val="24"/>
        </w:rPr>
      </w:pPr>
      <w:r>
        <w:rPr>
          <w:rFonts w:ascii="Garamond" w:hAnsi="Garamond"/>
          <w:sz w:val="24"/>
        </w:rPr>
        <w:t>Lecture 2 (</w:t>
      </w:r>
      <w:r w:rsidR="00933CE8">
        <w:rPr>
          <w:rFonts w:ascii="Garamond" w:hAnsi="Garamond"/>
          <w:sz w:val="24"/>
        </w:rPr>
        <w:t>Chapter 4</w:t>
      </w:r>
      <w:r>
        <w:rPr>
          <w:rFonts w:ascii="Garamond" w:hAnsi="Garamond"/>
          <w:sz w:val="24"/>
        </w:rPr>
        <w:t>)</w:t>
      </w:r>
      <w:r w:rsidR="00933CE8">
        <w:rPr>
          <w:rFonts w:ascii="Garamond" w:hAnsi="Garamond"/>
          <w:sz w:val="24"/>
        </w:rPr>
        <w:t xml:space="preserve"> examines the elements that marketers can use to identify and differentiate a brand. Names, logos, symbols, characters, slogans, URLs, jingles and packages all influence a company’s ability to build awareness and image for a brand and, consequently, have a direct impact on the degree of positive brand equity that can be established. Brand elements can be judged on the merits of their brand-building ability by isolating the element in a consumer survey and measuring consumers’ response to the brand based solely on the isolated element. If the consumers infer or assume a certain valued association or response, the element is said to contribute positively to brand equity. </w:t>
      </w:r>
    </w:p>
    <w:p w:rsidR="00933CE8" w:rsidRDefault="00933CE8">
      <w:pPr>
        <w:tabs>
          <w:tab w:val="left" w:pos="360"/>
        </w:tabs>
        <w:rPr>
          <w:rFonts w:ascii="Garamond" w:hAnsi="Garamond"/>
          <w:sz w:val="24"/>
        </w:rPr>
      </w:pPr>
    </w:p>
    <w:p w:rsidR="00933CE8" w:rsidRDefault="00933CE8">
      <w:pPr>
        <w:tabs>
          <w:tab w:val="left" w:pos="360"/>
        </w:tabs>
        <w:rPr>
          <w:rFonts w:ascii="Garamond" w:hAnsi="Garamond"/>
          <w:sz w:val="24"/>
        </w:rPr>
      </w:pPr>
      <w:r>
        <w:rPr>
          <w:rFonts w:ascii="Garamond" w:hAnsi="Garamond"/>
          <w:sz w:val="24"/>
        </w:rPr>
        <w:t xml:space="preserve">Six general criteria should govern a firm’s choice of brand elements. First, an element should be memorable, or easy to recognize and recall. Second, an element should be meaningful, or descriptive, persuasive, inherently fun and interesting, and rich in visual and verbal imagery. Third, an element should be likeable to consumers, in an aesthetic sense and in an emotional sense. Fourth, an element should be transferable within and across product categories, and across geographical and cultural boundaries. Fifth, an element should be adaptable, or flexible and capable of being updated over time. Sixth, an element should be protectable, both legally and competitively. </w:t>
      </w:r>
    </w:p>
    <w:p w:rsidR="00933CE8" w:rsidRDefault="00933CE8">
      <w:pPr>
        <w:tabs>
          <w:tab w:val="left" w:pos="360"/>
        </w:tabs>
        <w:rPr>
          <w:rFonts w:ascii="Garamond" w:hAnsi="Garamond"/>
          <w:sz w:val="24"/>
        </w:rPr>
      </w:pPr>
    </w:p>
    <w:p w:rsidR="00933CE8" w:rsidRDefault="00933CE8">
      <w:pPr>
        <w:tabs>
          <w:tab w:val="left" w:pos="360"/>
        </w:tabs>
        <w:rPr>
          <w:rFonts w:ascii="Garamond" w:hAnsi="Garamond"/>
          <w:sz w:val="24"/>
        </w:rPr>
      </w:pPr>
      <w:r>
        <w:rPr>
          <w:rFonts w:ascii="Garamond" w:hAnsi="Garamond"/>
          <w:sz w:val="24"/>
        </w:rPr>
        <w:t xml:space="preserve">Next, the chapter discusses the benefits and drawbacks inherent in the choice of each type of brand element. For example, selecting a familiar-sounding name for a brand would likely lead to high </w:t>
      </w:r>
      <w:proofErr w:type="spellStart"/>
      <w:r>
        <w:rPr>
          <w:rFonts w:ascii="Garamond" w:hAnsi="Garamond"/>
          <w:sz w:val="24"/>
        </w:rPr>
        <w:t>recallability</w:t>
      </w:r>
      <w:proofErr w:type="spellEnd"/>
      <w:r>
        <w:rPr>
          <w:rFonts w:ascii="Garamond" w:hAnsi="Garamond"/>
          <w:sz w:val="24"/>
        </w:rPr>
        <w:t xml:space="preserve">, but recognition often requires brand names to be different, distinct, or unusual. Fictitious or coined names are often used to satisfy </w:t>
      </w:r>
      <w:proofErr w:type="gramStart"/>
      <w:r>
        <w:rPr>
          <w:rFonts w:ascii="Garamond" w:hAnsi="Garamond"/>
          <w:sz w:val="24"/>
        </w:rPr>
        <w:t>this criteria</w:t>
      </w:r>
      <w:proofErr w:type="gramEnd"/>
      <w:r>
        <w:rPr>
          <w:rFonts w:ascii="Garamond" w:hAnsi="Garamond"/>
          <w:sz w:val="24"/>
        </w:rPr>
        <w:t xml:space="preserve">. Brand characters are beneficial because they typically aid awareness, reinforce key brand strengths, add elements of fun, excitement, humor, etc., and can be transferred across product categories. Consumer associations with a brand character can be so strong, however, that they actually dampen awareness by dominating other brand elements. Also, brand characters must be updated over time. </w:t>
      </w:r>
    </w:p>
    <w:p w:rsidR="00933CE8" w:rsidRDefault="00933CE8">
      <w:pPr>
        <w:tabs>
          <w:tab w:val="left" w:pos="360"/>
        </w:tabs>
        <w:rPr>
          <w:rFonts w:ascii="Garamond" w:hAnsi="Garamond"/>
          <w:sz w:val="24"/>
        </w:rPr>
      </w:pPr>
    </w:p>
    <w:p w:rsidR="00933CE8" w:rsidRDefault="00933CE8">
      <w:pPr>
        <w:tabs>
          <w:tab w:val="left" w:pos="360"/>
        </w:tabs>
        <w:rPr>
          <w:rFonts w:ascii="Garamond" w:hAnsi="Garamond"/>
          <w:sz w:val="24"/>
        </w:rPr>
      </w:pPr>
      <w:r>
        <w:rPr>
          <w:rFonts w:ascii="Garamond" w:hAnsi="Garamond"/>
          <w:sz w:val="24"/>
        </w:rPr>
        <w:t xml:space="preserve">The chapter ends by discussing how brand elements can be “mixed and matched” for maximum equity building. Brand elements must be mixed to achieve different positioning objectives, for instance. It is also important to match brand elements by ensuring that they harbor similarities that reinforce some shared meaning. Taken together, the entire set of brand elements makes up the brand identity, which reflects the contribution of all the elements to awareness and image. </w:t>
      </w:r>
    </w:p>
    <w:p w:rsidR="00933CE8" w:rsidRDefault="00933CE8">
      <w:pPr>
        <w:tabs>
          <w:tab w:val="left" w:pos="360"/>
        </w:tabs>
        <w:rPr>
          <w:rFonts w:ascii="Garamond" w:hAnsi="Garamond"/>
          <w:sz w:val="24"/>
        </w:rPr>
      </w:pPr>
    </w:p>
    <w:p w:rsidR="00933CE8" w:rsidRDefault="00933CE8">
      <w:pPr>
        <w:tabs>
          <w:tab w:val="left" w:pos="360"/>
        </w:tabs>
        <w:rPr>
          <w:rFonts w:ascii="Garamond" w:hAnsi="Garamond"/>
          <w:sz w:val="24"/>
        </w:rPr>
      </w:pPr>
      <w:r>
        <w:rPr>
          <w:rFonts w:ascii="Garamond" w:hAnsi="Garamond"/>
          <w:sz w:val="24"/>
        </w:rPr>
        <w:t xml:space="preserve">Brand Focus 4.0 discusses legal issues for branding. These include trademark protection from counterfeit and imitator brands, trademark issues with generic names, and trademark issues with packaging. </w:t>
      </w:r>
    </w:p>
    <w:p w:rsidR="00933CE8" w:rsidRDefault="00933CE8">
      <w:pPr>
        <w:tabs>
          <w:tab w:val="left" w:pos="360"/>
        </w:tabs>
        <w:rPr>
          <w:rFonts w:ascii="Garamond" w:hAnsi="Garamond"/>
          <w:sz w:val="24"/>
        </w:rPr>
      </w:pPr>
    </w:p>
    <w:p w:rsidR="00933CE8" w:rsidRDefault="00933CE8">
      <w:pPr>
        <w:pStyle w:val="Heading4"/>
        <w:rPr>
          <w:rFonts w:ascii="Garamond" w:hAnsi="Garamond"/>
        </w:rPr>
      </w:pPr>
      <w:r>
        <w:rPr>
          <w:rFonts w:ascii="Garamond" w:hAnsi="Garamond"/>
        </w:rPr>
        <w:t>Science of Branding</w:t>
      </w:r>
    </w:p>
    <w:p w:rsidR="00933CE8" w:rsidRDefault="00933CE8">
      <w:pPr>
        <w:tabs>
          <w:tab w:val="left" w:pos="360"/>
        </w:tabs>
        <w:rPr>
          <w:rFonts w:ascii="Garamond" w:hAnsi="Garamond"/>
          <w:sz w:val="24"/>
        </w:rPr>
      </w:pPr>
      <w:r>
        <w:rPr>
          <w:rFonts w:ascii="Garamond" w:hAnsi="Garamond"/>
          <w:sz w:val="24"/>
        </w:rPr>
        <w:t xml:space="preserve">4-1: Brand </w:t>
      </w:r>
      <w:r w:rsidR="00E8370C">
        <w:rPr>
          <w:rFonts w:ascii="Garamond" w:hAnsi="Garamond"/>
          <w:sz w:val="24"/>
        </w:rPr>
        <w:t>Design &amp; Aesthetics</w:t>
      </w:r>
    </w:p>
    <w:p w:rsidR="000858E8" w:rsidRDefault="000858E8">
      <w:pPr>
        <w:tabs>
          <w:tab w:val="left" w:pos="360"/>
        </w:tabs>
        <w:rPr>
          <w:rFonts w:ascii="Garamond" w:hAnsi="Garamond"/>
          <w:sz w:val="24"/>
        </w:rPr>
      </w:pPr>
      <w:r>
        <w:rPr>
          <w:rFonts w:ascii="Garamond" w:hAnsi="Garamond"/>
          <w:sz w:val="24"/>
        </w:rPr>
        <w:t>4-2: Counterfeit Business</w:t>
      </w:r>
      <w:r w:rsidR="00CE09CE">
        <w:rPr>
          <w:rFonts w:ascii="Garamond" w:hAnsi="Garamond"/>
          <w:sz w:val="24"/>
        </w:rPr>
        <w:t xml:space="preserve"> is Booming</w:t>
      </w:r>
    </w:p>
    <w:p w:rsidR="00933CE8" w:rsidRDefault="0091019D">
      <w:pPr>
        <w:tabs>
          <w:tab w:val="left" w:pos="360"/>
        </w:tabs>
        <w:rPr>
          <w:rFonts w:ascii="Garamond" w:hAnsi="Garamond"/>
          <w:sz w:val="24"/>
        </w:rPr>
      </w:pPr>
      <w:r>
        <w:rPr>
          <w:rFonts w:ascii="Garamond" w:hAnsi="Garamond"/>
          <w:sz w:val="24"/>
        </w:rPr>
        <w:t xml:space="preserve">4-3: </w:t>
      </w:r>
      <w:r w:rsidRPr="0091019D">
        <w:rPr>
          <w:rFonts w:ascii="Garamond" w:hAnsi="Garamond"/>
          <w:sz w:val="24"/>
        </w:rPr>
        <w:t>Balance Creative and Strategic Thinking to Create Great Characters</w:t>
      </w:r>
    </w:p>
    <w:p w:rsidR="0091019D" w:rsidRDefault="0091019D">
      <w:pPr>
        <w:tabs>
          <w:tab w:val="left" w:pos="360"/>
        </w:tabs>
        <w:rPr>
          <w:rFonts w:ascii="Garamond" w:hAnsi="Garamond"/>
          <w:sz w:val="24"/>
        </w:rPr>
      </w:pPr>
      <w:r>
        <w:rPr>
          <w:rFonts w:ascii="Garamond" w:hAnsi="Garamond"/>
          <w:sz w:val="24"/>
        </w:rPr>
        <w:lastRenderedPageBreak/>
        <w:t>4-4: Brand Makeover Experts: Landor Associates</w:t>
      </w:r>
    </w:p>
    <w:p w:rsidR="00F15C09" w:rsidRDefault="00F15C09">
      <w:pPr>
        <w:tabs>
          <w:tab w:val="left" w:pos="360"/>
        </w:tabs>
        <w:rPr>
          <w:rFonts w:ascii="Garamond" w:hAnsi="Garamond"/>
          <w:sz w:val="24"/>
        </w:rPr>
      </w:pPr>
      <w:r>
        <w:rPr>
          <w:rFonts w:ascii="Garamond" w:hAnsi="Garamond"/>
          <w:sz w:val="24"/>
        </w:rPr>
        <w:t>4-5: The Psychology of Packaging</w:t>
      </w:r>
    </w:p>
    <w:p w:rsidR="0091019D" w:rsidRDefault="0091019D">
      <w:pPr>
        <w:tabs>
          <w:tab w:val="left" w:pos="360"/>
        </w:tabs>
        <w:rPr>
          <w:rFonts w:ascii="Garamond" w:hAnsi="Garamond"/>
          <w:sz w:val="24"/>
        </w:rPr>
      </w:pPr>
    </w:p>
    <w:p w:rsidR="00933CE8" w:rsidRDefault="00933CE8">
      <w:pPr>
        <w:pStyle w:val="Heading4"/>
        <w:rPr>
          <w:rFonts w:ascii="Garamond" w:hAnsi="Garamond"/>
        </w:rPr>
      </w:pPr>
      <w:r>
        <w:rPr>
          <w:rFonts w:ascii="Garamond" w:hAnsi="Garamond"/>
        </w:rPr>
        <w:t>Branding Briefs</w:t>
      </w:r>
    </w:p>
    <w:p w:rsidR="00933CE8" w:rsidRDefault="00933CE8">
      <w:pPr>
        <w:tabs>
          <w:tab w:val="left" w:pos="360"/>
        </w:tabs>
        <w:rPr>
          <w:rFonts w:ascii="Garamond" w:hAnsi="Garamond"/>
          <w:sz w:val="24"/>
        </w:rPr>
      </w:pPr>
      <w:r>
        <w:rPr>
          <w:rFonts w:ascii="Garamond" w:hAnsi="Garamond"/>
          <w:sz w:val="24"/>
        </w:rPr>
        <w:t>4-1: Branding a New Soft Drink</w:t>
      </w:r>
    </w:p>
    <w:p w:rsidR="00933CE8" w:rsidRDefault="00933CE8">
      <w:pPr>
        <w:tabs>
          <w:tab w:val="left" w:pos="360"/>
        </w:tabs>
        <w:rPr>
          <w:rFonts w:ascii="Garamond" w:hAnsi="Garamond"/>
          <w:sz w:val="24"/>
        </w:rPr>
      </w:pPr>
      <w:r>
        <w:rPr>
          <w:rFonts w:ascii="Garamond" w:hAnsi="Garamond"/>
          <w:sz w:val="24"/>
        </w:rPr>
        <w:t>4-</w:t>
      </w:r>
      <w:r w:rsidR="000858E8">
        <w:rPr>
          <w:rFonts w:ascii="Garamond" w:hAnsi="Garamond"/>
          <w:sz w:val="24"/>
        </w:rPr>
        <w:t xml:space="preserve">2: </w:t>
      </w:r>
      <w:proofErr w:type="spellStart"/>
      <w:r w:rsidR="000858E8">
        <w:rPr>
          <w:rFonts w:ascii="Garamond" w:hAnsi="Garamond"/>
          <w:sz w:val="24"/>
        </w:rPr>
        <w:t>Geiko</w:t>
      </w:r>
      <w:proofErr w:type="spellEnd"/>
      <w:r w:rsidR="006266EC">
        <w:rPr>
          <w:rFonts w:ascii="Garamond" w:hAnsi="Garamond"/>
          <w:sz w:val="24"/>
        </w:rPr>
        <w:t xml:space="preserve"> </w:t>
      </w:r>
      <w:proofErr w:type="spellStart"/>
      <w:r w:rsidR="006266EC">
        <w:rPr>
          <w:rFonts w:ascii="Garamond" w:hAnsi="Garamond"/>
          <w:sz w:val="24"/>
        </w:rPr>
        <w:t>Geco</w:t>
      </w:r>
      <w:proofErr w:type="spellEnd"/>
      <w:r w:rsidR="006266EC">
        <w:rPr>
          <w:rFonts w:ascii="Garamond" w:hAnsi="Garamond"/>
          <w:sz w:val="24"/>
        </w:rPr>
        <w:t xml:space="preserve"> Becomes Advertising Icon</w:t>
      </w:r>
    </w:p>
    <w:p w:rsidR="00933CE8" w:rsidRDefault="00933CE8" w:rsidP="0091019D">
      <w:pPr>
        <w:tabs>
          <w:tab w:val="left" w:pos="360"/>
        </w:tabs>
        <w:rPr>
          <w:rFonts w:ascii="Garamond" w:hAnsi="Garamond"/>
          <w:sz w:val="24"/>
        </w:rPr>
      </w:pPr>
      <w:r>
        <w:rPr>
          <w:rFonts w:ascii="Garamond" w:hAnsi="Garamond"/>
          <w:sz w:val="24"/>
        </w:rPr>
        <w:t>4-3: Bringing Betty Crocker into the 1990s</w:t>
      </w:r>
    </w:p>
    <w:p w:rsidR="00933CE8" w:rsidRDefault="00933CE8" w:rsidP="0091019D">
      <w:pPr>
        <w:tabs>
          <w:tab w:val="left" w:pos="360"/>
        </w:tabs>
        <w:rPr>
          <w:rFonts w:ascii="Garamond" w:hAnsi="Garamond"/>
          <w:sz w:val="24"/>
        </w:rPr>
      </w:pPr>
      <w:r>
        <w:rPr>
          <w:rFonts w:ascii="Garamond" w:hAnsi="Garamond"/>
          <w:sz w:val="24"/>
        </w:rPr>
        <w:t>4-4: Benetton’s Brand Equity Management</w:t>
      </w:r>
    </w:p>
    <w:p w:rsidR="000858E8" w:rsidRDefault="000858E8">
      <w:pPr>
        <w:tabs>
          <w:tab w:val="left" w:pos="360"/>
        </w:tabs>
        <w:rPr>
          <w:rFonts w:ascii="Garamond" w:hAnsi="Garamond"/>
          <w:sz w:val="24"/>
        </w:rPr>
      </w:pPr>
      <w:r>
        <w:rPr>
          <w:rFonts w:ascii="Garamond" w:hAnsi="Garamond"/>
          <w:sz w:val="24"/>
        </w:rPr>
        <w:t xml:space="preserve">4-5: </w:t>
      </w:r>
      <w:r w:rsidR="001632F2">
        <w:rPr>
          <w:rFonts w:ascii="Garamond" w:hAnsi="Garamond"/>
          <w:sz w:val="24"/>
        </w:rPr>
        <w:t xml:space="preserve">Inside a </w:t>
      </w:r>
      <w:r>
        <w:rPr>
          <w:rFonts w:ascii="Garamond" w:hAnsi="Garamond"/>
          <w:sz w:val="24"/>
        </w:rPr>
        <w:t>Packaging Makeover</w:t>
      </w:r>
    </w:p>
    <w:p w:rsidR="00E605B9" w:rsidRPr="00215412" w:rsidRDefault="00E605B9" w:rsidP="00E605B9">
      <w:pPr>
        <w:pStyle w:val="Heading1"/>
        <w:rPr>
          <w:rFonts w:ascii="Garamond" w:hAnsi="Garamond"/>
        </w:rPr>
      </w:pPr>
      <w:r w:rsidRPr="00215412">
        <w:rPr>
          <w:rFonts w:ascii="Garamond" w:hAnsi="Garamond"/>
        </w:rPr>
        <w:t>Additional Branding Briefs:</w:t>
      </w:r>
    </w:p>
    <w:p w:rsidR="00933CE8" w:rsidRPr="00E605B9" w:rsidRDefault="00E605B9" w:rsidP="00E605B9">
      <w:pPr>
        <w:tabs>
          <w:tab w:val="left" w:pos="360"/>
        </w:tabs>
        <w:rPr>
          <w:rFonts w:ascii="Garamond" w:hAnsi="Garamond"/>
          <w:sz w:val="24"/>
          <w:szCs w:val="24"/>
        </w:rPr>
      </w:pPr>
      <w:r w:rsidRPr="00E605B9">
        <w:rPr>
          <w:rFonts w:ascii="Garamond" w:hAnsi="Garamond"/>
          <w:sz w:val="24"/>
          <w:szCs w:val="24"/>
        </w:rPr>
        <w:t>4-6: New Wine, New Bottles</w:t>
      </w:r>
    </w:p>
    <w:p w:rsidR="00E605B9" w:rsidRDefault="00E605B9" w:rsidP="00E605B9">
      <w:pPr>
        <w:tabs>
          <w:tab w:val="left" w:pos="360"/>
        </w:tabs>
        <w:rPr>
          <w:rFonts w:ascii="Garamond" w:hAnsi="Garamond"/>
          <w:sz w:val="24"/>
        </w:rPr>
      </w:pPr>
    </w:p>
    <w:p w:rsidR="00933CE8" w:rsidRDefault="00933CE8">
      <w:pPr>
        <w:pStyle w:val="Heading1"/>
        <w:rPr>
          <w:rFonts w:ascii="Garamond" w:hAnsi="Garamond"/>
        </w:rPr>
      </w:pPr>
      <w:r>
        <w:rPr>
          <w:rFonts w:ascii="Garamond" w:hAnsi="Garamond"/>
          <w:b/>
        </w:rPr>
        <w:t>Key take-away points</w:t>
      </w:r>
    </w:p>
    <w:p w:rsidR="00933CE8" w:rsidRDefault="00933CE8">
      <w:pPr>
        <w:tabs>
          <w:tab w:val="left" w:pos="360"/>
        </w:tabs>
        <w:spacing w:before="120"/>
        <w:ind w:left="360" w:hanging="360"/>
        <w:rPr>
          <w:rFonts w:ascii="Garamond" w:hAnsi="Garamond"/>
          <w:sz w:val="24"/>
        </w:rPr>
      </w:pPr>
      <w:r>
        <w:rPr>
          <w:rFonts w:ascii="Garamond" w:hAnsi="Garamond"/>
          <w:sz w:val="24"/>
        </w:rPr>
        <w:t>1.</w:t>
      </w:r>
      <w:r>
        <w:rPr>
          <w:rFonts w:ascii="Garamond" w:hAnsi="Garamond"/>
          <w:sz w:val="24"/>
        </w:rPr>
        <w:tab/>
        <w:t>A brand’s identity is created through the choice of a name, URL, logo, symbol, slogan, package, jingle, and character.</w:t>
      </w:r>
    </w:p>
    <w:p w:rsidR="00933CE8" w:rsidRDefault="00933CE8">
      <w:pPr>
        <w:tabs>
          <w:tab w:val="left" w:pos="360"/>
        </w:tabs>
        <w:spacing w:before="120"/>
        <w:ind w:left="360" w:hanging="360"/>
        <w:rPr>
          <w:rFonts w:ascii="Garamond" w:hAnsi="Garamond"/>
          <w:sz w:val="24"/>
        </w:rPr>
      </w:pPr>
      <w:r>
        <w:rPr>
          <w:rFonts w:ascii="Garamond" w:hAnsi="Garamond"/>
          <w:sz w:val="24"/>
        </w:rPr>
        <w:t>2.</w:t>
      </w:r>
      <w:r>
        <w:rPr>
          <w:rFonts w:ascii="Garamond" w:hAnsi="Garamond"/>
          <w:sz w:val="24"/>
        </w:rPr>
        <w:tab/>
        <w:t>Brand elements should be memorable, meaningful, transferable, adaptable and protectable.</w:t>
      </w:r>
    </w:p>
    <w:p w:rsidR="00933CE8" w:rsidRDefault="00933CE8">
      <w:pPr>
        <w:tabs>
          <w:tab w:val="left" w:pos="360"/>
        </w:tabs>
        <w:spacing w:before="120"/>
        <w:ind w:left="360" w:hanging="360"/>
        <w:rPr>
          <w:rFonts w:ascii="Garamond" w:hAnsi="Garamond"/>
          <w:sz w:val="24"/>
        </w:rPr>
      </w:pPr>
      <w:r>
        <w:rPr>
          <w:rFonts w:ascii="Garamond" w:hAnsi="Garamond"/>
          <w:sz w:val="24"/>
        </w:rPr>
        <w:t>3.</w:t>
      </w:r>
      <w:r>
        <w:rPr>
          <w:rFonts w:ascii="Garamond" w:hAnsi="Garamond"/>
          <w:sz w:val="24"/>
        </w:rPr>
        <w:tab/>
        <w:t>The brand-building potential of brand elements can be gauged by asking consumers what they would think about the product if they knew only its name, logo, and other identity characteristics.</w:t>
      </w:r>
    </w:p>
    <w:p w:rsidR="00933CE8" w:rsidRDefault="00933CE8">
      <w:pPr>
        <w:tabs>
          <w:tab w:val="left" w:pos="360"/>
        </w:tabs>
        <w:spacing w:before="120"/>
        <w:ind w:left="360" w:hanging="360"/>
        <w:rPr>
          <w:rFonts w:ascii="Garamond" w:hAnsi="Garamond"/>
          <w:sz w:val="24"/>
        </w:rPr>
      </w:pPr>
      <w:r>
        <w:rPr>
          <w:rFonts w:ascii="Garamond" w:hAnsi="Garamond"/>
          <w:sz w:val="24"/>
        </w:rPr>
        <w:t xml:space="preserve">4. All the brand elements for a particular brand create the brand identity, which conveys the contribution of these elements to image and awareness. </w:t>
      </w:r>
    </w:p>
    <w:p w:rsidR="00933CE8" w:rsidRDefault="00933CE8">
      <w:pPr>
        <w:spacing w:line="240" w:lineRule="atLeast"/>
        <w:jc w:val="center"/>
        <w:rPr>
          <w:rFonts w:ascii="Garamond" w:hAnsi="Garamond"/>
          <w:b/>
          <w:i/>
          <w:caps/>
          <w:sz w:val="24"/>
        </w:rPr>
      </w:pPr>
      <w:r>
        <w:rPr>
          <w:rFonts w:ascii="Garamond" w:hAnsi="Garamond"/>
          <w:sz w:val="24"/>
        </w:rPr>
        <w:br w:type="page"/>
      </w:r>
      <w:r w:rsidR="007169D4">
        <w:rPr>
          <w:rFonts w:ascii="Garamond" w:hAnsi="Garamond"/>
          <w:b/>
          <w:i/>
          <w:caps/>
          <w:sz w:val="24"/>
        </w:rPr>
        <w:lastRenderedPageBreak/>
        <w:t>Branding Brief 4-6</w:t>
      </w:r>
    </w:p>
    <w:p w:rsidR="00933CE8" w:rsidRDefault="00933CE8">
      <w:pPr>
        <w:spacing w:line="240" w:lineRule="atLeast"/>
        <w:jc w:val="center"/>
        <w:rPr>
          <w:rFonts w:ascii="Garamond" w:hAnsi="Garamond"/>
          <w:b/>
          <w:i/>
          <w:caps/>
          <w:sz w:val="24"/>
        </w:rPr>
      </w:pPr>
      <w:r>
        <w:rPr>
          <w:rFonts w:ascii="Garamond" w:hAnsi="Garamond"/>
          <w:b/>
          <w:i/>
          <w:caps/>
          <w:sz w:val="24"/>
        </w:rPr>
        <w:t>new wine, new bottles</w:t>
      </w:r>
      <w:r>
        <w:rPr>
          <w:rStyle w:val="FootnoteReference"/>
          <w:rFonts w:ascii="Garamond" w:hAnsi="Garamond"/>
          <w:b/>
          <w:i/>
          <w:caps/>
          <w:sz w:val="24"/>
        </w:rPr>
        <w:footnoteReference w:id="1"/>
      </w:r>
    </w:p>
    <w:p w:rsidR="00933CE8" w:rsidRDefault="00933CE8">
      <w:pPr>
        <w:ind w:right="3108"/>
        <w:rPr>
          <w:rFonts w:ascii="Garamond" w:hAnsi="Garamond"/>
          <w:sz w:val="24"/>
        </w:rPr>
      </w:pPr>
    </w:p>
    <w:p w:rsidR="00933CE8" w:rsidRDefault="00933CE8">
      <w:pPr>
        <w:ind w:right="3108"/>
        <w:rPr>
          <w:rFonts w:ascii="Garamond" w:hAnsi="Garamond"/>
          <w:sz w:val="24"/>
        </w:rPr>
      </w:pPr>
    </w:p>
    <w:p w:rsidR="00933CE8" w:rsidRDefault="00933CE8">
      <w:pPr>
        <w:rPr>
          <w:rFonts w:ascii="Garamond" w:hAnsi="Garamond"/>
          <w:sz w:val="24"/>
        </w:rPr>
      </w:pPr>
      <w:r>
        <w:rPr>
          <w:rFonts w:ascii="Garamond" w:hAnsi="Garamond"/>
          <w:sz w:val="24"/>
        </w:rPr>
        <w:t>Also picking up on the packaging trend — and in the face of slumping sales — wine makers have gone beyond pretty labels to consider selling the fruits of their labor in bottles of different shapes and sizes. As one packaging expert noted, "Wine makers are finding out that packaging can be a real important part of a product's appeal. Not just a prettier label but a functionally different package."  To illustrate some of the changes, note the following observation by one marketing commentator:</w:t>
      </w:r>
    </w:p>
    <w:p w:rsidR="00933CE8" w:rsidRDefault="00933CE8">
      <w:pPr>
        <w:spacing w:before="120" w:after="120"/>
        <w:ind w:left="720" w:right="720"/>
        <w:rPr>
          <w:rFonts w:ascii="Garamond" w:hAnsi="Garamond"/>
          <w:sz w:val="24"/>
        </w:rPr>
      </w:pPr>
      <w:r>
        <w:rPr>
          <w:rFonts w:ascii="Garamond" w:hAnsi="Garamond"/>
          <w:sz w:val="24"/>
        </w:rPr>
        <w:t>“If you're taking a lunch break on the ski slopes, you can open up a 187 milliliter screw-cap bottle, the size that used to be found only on planes but now can be bought in supermarkets and at mountaintop ski cafes. If you're expecting lots of relatives for the holidays, you can try a five-liter bag-in-a-box. If you're having an intimate dinner with a temperate date, uncork a 500 milliliter bottle, which holds four glasses instead of the six in the standard 750 milliliter bottle.”</w:t>
      </w:r>
    </w:p>
    <w:p w:rsidR="00933CE8" w:rsidRDefault="00933CE8">
      <w:pPr>
        <w:rPr>
          <w:rFonts w:ascii="Garamond" w:hAnsi="Garamond"/>
          <w:sz w:val="24"/>
        </w:rPr>
      </w:pPr>
      <w:r>
        <w:rPr>
          <w:rFonts w:ascii="Garamond" w:hAnsi="Garamond"/>
          <w:sz w:val="24"/>
        </w:rPr>
        <w:t xml:space="preserve">Although still relatively small in absolute terms, these new packages have seen the fastest relative growth in sales in the category. New packages are even being used for varietal wines (i.e., wines identified with a particular grape such as with chardonnays), as well as with the blended jug or generic wines. Wine makers are hoping that at least some consumers will trade image and status for convenience (with smaller bottles) and value (with bigger bottles). </w:t>
      </w:r>
    </w:p>
    <w:p w:rsidR="00933CE8" w:rsidRDefault="00933CE8">
      <w:pPr>
        <w:rPr>
          <w:rFonts w:ascii="Garamond" w:hAnsi="Garamond"/>
          <w:sz w:val="24"/>
        </w:rPr>
      </w:pPr>
    </w:p>
    <w:p w:rsidR="00933CE8" w:rsidRDefault="00933CE8">
      <w:pPr>
        <w:pStyle w:val="BodyText2"/>
        <w:tabs>
          <w:tab w:val="clear" w:pos="360"/>
        </w:tabs>
      </w:pPr>
      <w:r>
        <w:t xml:space="preserve">Some wineries are also changing the look of their packaging. In recent years, wineries have altered the appearance of the bottle’s neck bands, added a flange to the bottle lip, and replaced wooden corks with colored plastic ones. One popular alteration is to change the hue of the bottle to deep blue. Schmitt </w:t>
      </w:r>
      <w:proofErr w:type="spellStart"/>
      <w:r>
        <w:t>Schone</w:t>
      </w:r>
      <w:proofErr w:type="spellEnd"/>
      <w:r>
        <w:t xml:space="preserve">, a German wine producer that typically sold 6,000 cases annually, switched its Riesling bottle from green to blue, and within six months sold 60,000 cases. Others popular cosmetic changes to wine bottles include using frosted glass and clear labels. When Sutter Home Winery, the fourth-largest wine seller in the </w:t>
      </w:r>
      <w:smartTag w:uri="urn:schemas-microsoft-com:office:smarttags" w:element="place">
        <w:smartTag w:uri="urn:schemas-microsoft-com:office:smarttags" w:element="country-region">
          <w:r>
            <w:t>U.S.</w:t>
          </w:r>
        </w:smartTag>
      </w:smartTag>
      <w:r>
        <w:t xml:space="preserve">, began using a clear label, sales increased 25 percent the following year. One expert attributes the packaging changes to the desire for wineries to stand out from the crowd, saying, “It’s a fragmented, competitive business. If a winery can gain an advantage by staying vibrant [in its packaging] they’re going to do it.”   </w:t>
      </w:r>
    </w:p>
    <w:p w:rsidR="00933CE8" w:rsidRDefault="00933CE8">
      <w:pPr>
        <w:tabs>
          <w:tab w:val="left" w:pos="360"/>
        </w:tabs>
        <w:ind w:left="360" w:hanging="360"/>
        <w:rPr>
          <w:rFonts w:ascii="Garamond" w:hAnsi="Garamond"/>
          <w:sz w:val="24"/>
        </w:rPr>
      </w:pPr>
    </w:p>
    <w:sectPr w:rsidR="00933CE8" w:rsidSect="001C5D67">
      <w:headerReference w:type="even" r:id="rId8"/>
      <w:footerReference w:type="even" r:id="rId9"/>
      <w:footerReference w:type="default" r:id="rId10"/>
      <w:pgSz w:w="12240" w:h="15840"/>
      <w:pgMar w:top="1440" w:right="1800" w:bottom="1440" w:left="1800" w:header="720" w:footer="720" w:gutter="0"/>
      <w:pgNumType w:start="2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3F6" w:rsidRDefault="004A73F6">
      <w:r>
        <w:separator/>
      </w:r>
    </w:p>
  </w:endnote>
  <w:endnote w:type="continuationSeparator" w:id="0">
    <w:p w:rsidR="004A73F6" w:rsidRDefault="004A7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C09" w:rsidRDefault="00F15C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15C09" w:rsidRDefault="00F15C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C09" w:rsidRDefault="00F15C09">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19259A">
      <w:rPr>
        <w:rStyle w:val="PageNumber"/>
        <w:rFonts w:ascii="Times New Roman" w:hAnsi="Times New Roman"/>
        <w:noProof/>
        <w:sz w:val="24"/>
      </w:rPr>
      <w:t>22</w:t>
    </w:r>
    <w:r>
      <w:rPr>
        <w:rStyle w:val="PageNumber"/>
        <w:rFonts w:ascii="Times New Roman" w:hAnsi="Times New Roman"/>
        <w:sz w:val="24"/>
      </w:rPr>
      <w:fldChar w:fldCharType="end"/>
    </w:r>
  </w:p>
  <w:p w:rsidR="00F15C09" w:rsidRDefault="00F15C0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3F6" w:rsidRDefault="004A73F6">
      <w:r>
        <w:separator/>
      </w:r>
    </w:p>
  </w:footnote>
  <w:footnote w:type="continuationSeparator" w:id="0">
    <w:p w:rsidR="004A73F6" w:rsidRDefault="004A73F6">
      <w:r>
        <w:continuationSeparator/>
      </w:r>
    </w:p>
  </w:footnote>
  <w:footnote w:id="1">
    <w:p w:rsidR="00F15C09" w:rsidRDefault="00F15C09">
      <w:r>
        <w:rPr>
          <w:rStyle w:val="FootnoteReference"/>
          <w:rFonts w:ascii="Garamond" w:hAnsi="Garamond"/>
        </w:rPr>
        <w:footnoteRef/>
      </w:r>
      <w:r>
        <w:rPr>
          <w:rFonts w:ascii="Garamond" w:hAnsi="Garamond"/>
        </w:rPr>
        <w:t xml:space="preserve"> Lourdes Lee </w:t>
      </w:r>
      <w:proofErr w:type="spellStart"/>
      <w:r>
        <w:rPr>
          <w:rFonts w:ascii="Garamond" w:hAnsi="Garamond"/>
        </w:rPr>
        <w:t>Valeriano</w:t>
      </w:r>
      <w:proofErr w:type="spellEnd"/>
      <w:r>
        <w:rPr>
          <w:rFonts w:ascii="Garamond" w:hAnsi="Garamond"/>
        </w:rPr>
        <w:t xml:space="preserve">, "Wine is Bottled in More Shapes and Sizes," </w:t>
      </w:r>
      <w:r>
        <w:rPr>
          <w:rFonts w:ascii="Garamond" w:hAnsi="Garamond"/>
          <w:u w:val="single"/>
        </w:rPr>
        <w:t>Wall Street Journal</w:t>
      </w:r>
      <w:r>
        <w:rPr>
          <w:rFonts w:ascii="Garamond" w:hAnsi="Garamond"/>
        </w:rPr>
        <w:t xml:space="preserve">, </w:t>
      </w:r>
      <w:smartTag w:uri="urn:schemas-microsoft-com:office:smarttags" w:element="date">
        <w:smartTagPr>
          <w:attr w:name="Year" w:val="1993"/>
          <w:attr w:name="Day" w:val="9"/>
          <w:attr w:name="Month" w:val="12"/>
        </w:smartTagPr>
        <w:r>
          <w:rPr>
            <w:rFonts w:ascii="Garamond" w:hAnsi="Garamond"/>
          </w:rPr>
          <w:t>December 9, 1993</w:t>
        </w:r>
      </w:smartTag>
      <w:r>
        <w:rPr>
          <w:rFonts w:ascii="Garamond" w:hAnsi="Garamond"/>
        </w:rPr>
        <w:t xml:space="preserve">, p. B-1. Elizabeth Jensen. “Blue Bottles, Gimmicky Labels Sell Wine.” </w:t>
      </w:r>
      <w:proofErr w:type="gramStart"/>
      <w:r>
        <w:rPr>
          <w:rFonts w:ascii="Garamond" w:hAnsi="Garamond"/>
          <w:i/>
        </w:rPr>
        <w:t>Wall Street Journal</w:t>
      </w:r>
      <w:r>
        <w:rPr>
          <w:rFonts w:ascii="Garamond" w:hAnsi="Garamond"/>
        </w:rPr>
        <w:t xml:space="preserve">, </w:t>
      </w:r>
      <w:smartTag w:uri="urn:schemas-microsoft-com:office:smarttags" w:element="date">
        <w:smartTagPr>
          <w:attr w:name="Year" w:val="1997"/>
          <w:attr w:name="Day" w:val="7"/>
          <w:attr w:name="Month" w:val="7"/>
        </w:smartTagPr>
        <w:r>
          <w:rPr>
            <w:rFonts w:ascii="Garamond" w:hAnsi="Garamond"/>
          </w:rPr>
          <w:t>July 7, 1997</w:t>
        </w:r>
      </w:smartTag>
      <w:r>
        <w:rPr>
          <w:rFonts w:ascii="Garamond" w:hAnsi="Garamond"/>
        </w:rPr>
        <w:t xml:space="preserve">; Terri </w:t>
      </w:r>
      <w:bookmarkStart w:id="0" w:name="_GoBack"/>
      <w:bookmarkEnd w:id="0"/>
      <w:r>
        <w:rPr>
          <w:rFonts w:ascii="Garamond" w:hAnsi="Garamond"/>
        </w:rPr>
        <w:t>Allan.</w:t>
      </w:r>
      <w:proofErr w:type="gramEnd"/>
      <w:r>
        <w:rPr>
          <w:rFonts w:ascii="Garamond" w:hAnsi="Garamond"/>
        </w:rPr>
        <w:t xml:space="preserve"> “Wine Packaging Comes of Age.” </w:t>
      </w:r>
      <w:r>
        <w:rPr>
          <w:rFonts w:ascii="Garamond" w:hAnsi="Garamond"/>
          <w:i/>
        </w:rPr>
        <w:t>Brand Packaging</w:t>
      </w:r>
      <w:r>
        <w:rPr>
          <w:rFonts w:ascii="Garamond" w:hAnsi="Garamond"/>
        </w:rPr>
        <w:t>, September/October 2000</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C09" w:rsidRDefault="00F15C0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15C09" w:rsidRDefault="00F15C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8E8"/>
    <w:rsid w:val="000858E8"/>
    <w:rsid w:val="001632F2"/>
    <w:rsid w:val="0019259A"/>
    <w:rsid w:val="001C5D67"/>
    <w:rsid w:val="003E44EA"/>
    <w:rsid w:val="004A73F6"/>
    <w:rsid w:val="006266EC"/>
    <w:rsid w:val="007169D4"/>
    <w:rsid w:val="0091019D"/>
    <w:rsid w:val="00933CE8"/>
    <w:rsid w:val="0093474F"/>
    <w:rsid w:val="009B5316"/>
    <w:rsid w:val="00A045C3"/>
    <w:rsid w:val="00C14F03"/>
    <w:rsid w:val="00CE09CE"/>
    <w:rsid w:val="00E605B9"/>
    <w:rsid w:val="00E8370C"/>
    <w:rsid w:val="00F15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sz w:val="24"/>
      <w:u w:val="single"/>
    </w:rPr>
  </w:style>
  <w:style w:type="paragraph" w:styleId="Heading4">
    <w:name w:val="heading 4"/>
    <w:basedOn w:val="Normal"/>
    <w:next w:val="Normal"/>
    <w:qFormat/>
    <w:pPr>
      <w:keepNext/>
      <w:tabs>
        <w:tab w:val="left" w:pos="360"/>
      </w:tabs>
      <w:outlineLvl w:val="3"/>
    </w:pPr>
    <w:rPr>
      <w:rFonts w:ascii="Times New Roman" w:hAnsi="Times New Roman"/>
      <w:b/>
      <w:sz w:val="24"/>
      <w:u w:val="single"/>
    </w:rPr>
  </w:style>
  <w:style w:type="paragraph" w:styleId="Heading5">
    <w:name w:val="heading 5"/>
    <w:basedOn w:val="Normal"/>
    <w:next w:val="Normal"/>
    <w:qFormat/>
    <w:pPr>
      <w:keepNext/>
      <w:jc w:val="center"/>
      <w:outlineLvl w:val="4"/>
    </w:pPr>
    <w:rPr>
      <w:rFonts w:ascii="Times New Roman" w:hAnsi="Times New Roman"/>
      <w:b/>
      <w:sz w:val="24"/>
    </w:rPr>
  </w:style>
  <w:style w:type="paragraph" w:styleId="Heading6">
    <w:name w:val="heading 6"/>
    <w:basedOn w:val="Normal"/>
    <w:next w:val="Normal"/>
    <w:qFormat/>
    <w:pPr>
      <w:keepNext/>
      <w:ind w:left="4320" w:firstLine="720"/>
      <w:outlineLvl w:val="5"/>
    </w:pPr>
    <w:rPr>
      <w:rFonts w:ascii="Times New Roman" w:hAnsi="Times New Roman"/>
      <w:sz w:val="24"/>
    </w:rPr>
  </w:style>
  <w:style w:type="paragraph" w:styleId="Heading7">
    <w:name w:val="heading 7"/>
    <w:basedOn w:val="Normal"/>
    <w:next w:val="Normal"/>
    <w:qFormat/>
    <w:pPr>
      <w:keepNext/>
      <w:ind w:left="1440" w:firstLine="720"/>
      <w:outlineLvl w:val="6"/>
    </w:pPr>
    <w:rPr>
      <w:rFonts w:ascii="Times New Roman" w:hAnsi="Times New Roman"/>
      <w:sz w:val="24"/>
    </w:rPr>
  </w:style>
  <w:style w:type="paragraph" w:styleId="Heading8">
    <w:name w:val="heading 8"/>
    <w:basedOn w:val="Normal"/>
    <w:next w:val="Normal"/>
    <w:qFormat/>
    <w:pPr>
      <w:keepNext/>
      <w:outlineLvl w:val="7"/>
    </w:pPr>
    <w:rPr>
      <w:rFonts w:ascii="Garamond" w:hAnsi="Garamond"/>
      <w:sz w:val="28"/>
    </w:rPr>
  </w:style>
  <w:style w:type="paragraph" w:styleId="Heading9">
    <w:name w:val="heading 9"/>
    <w:basedOn w:val="Normal"/>
    <w:next w:val="Normal"/>
    <w:qFormat/>
    <w:pPr>
      <w:keepNext/>
      <w:tabs>
        <w:tab w:val="left" w:pos="360"/>
      </w:tabs>
      <w:ind w:left="360" w:hanging="360"/>
      <w:outlineLvl w:val="8"/>
    </w:pPr>
    <w:rPr>
      <w:rFonts w:ascii="Garamond" w:hAnsi="Garamond"/>
      <w:b/>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rPr>
  </w:style>
  <w:style w:type="paragraph" w:styleId="BodyTextIndent2">
    <w:name w:val="Body Text Indent 2"/>
    <w:basedOn w:val="Normal"/>
    <w:pPr>
      <w:ind w:left="720" w:firstLine="720"/>
    </w:pPr>
    <w:rPr>
      <w:rFonts w:ascii="Times New Roman" w:hAnsi="Times New Roman"/>
      <w:sz w:val="24"/>
    </w:rPr>
  </w:style>
  <w:style w:type="paragraph" w:styleId="Title">
    <w:name w:val="Title"/>
    <w:basedOn w:val="Normal"/>
    <w:qFormat/>
    <w:pPr>
      <w:jc w:val="center"/>
    </w:pPr>
    <w:rPr>
      <w:rFonts w:ascii="Times New Roman" w:hAnsi="Times New Roman"/>
      <w:b/>
      <w:sz w:val="24"/>
    </w:rPr>
  </w:style>
  <w:style w:type="paragraph" w:styleId="BodyTextIndent3">
    <w:name w:val="Body Text Indent 3"/>
    <w:basedOn w:val="Normal"/>
    <w:pPr>
      <w:ind w:left="1440" w:hanging="720"/>
    </w:pPr>
    <w:rPr>
      <w:rFonts w:ascii="Times New Roman" w:hAnsi="Times New Roman"/>
      <w:sz w:val="24"/>
    </w:rPr>
  </w:style>
  <w:style w:type="paragraph" w:styleId="BodyText">
    <w:name w:val="Body Text"/>
    <w:basedOn w:val="Normal"/>
    <w:pPr>
      <w:tabs>
        <w:tab w:val="left" w:pos="360"/>
      </w:tabs>
    </w:pPr>
    <w:rPr>
      <w:rFonts w:ascii="Times New Roman" w:hAnsi="Times New Roman"/>
      <w:sz w:val="24"/>
    </w:rPr>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pPr>
      <w:tabs>
        <w:tab w:val="left" w:pos="360"/>
      </w:tabs>
      <w:ind w:left="720" w:right="720"/>
    </w:pPr>
    <w:rPr>
      <w:rFonts w:ascii="Times New Roman" w:hAnsi="Times New Roman"/>
      <w:sz w:val="24"/>
    </w:rPr>
  </w:style>
  <w:style w:type="paragraph" w:styleId="BodyText20">
    <w:name w:val="Body Text 2"/>
    <w:basedOn w:val="Normal"/>
    <w:pPr>
      <w:tabs>
        <w:tab w:val="left" w:pos="360"/>
      </w:tabs>
      <w:ind w:left="360" w:hanging="360"/>
    </w:pPr>
    <w:rPr>
      <w:rFonts w:ascii="Times New Roman" w:hAnsi="Times New Roman"/>
      <w:sz w:val="24"/>
    </w:rPr>
  </w:style>
  <w:style w:type="paragraph" w:styleId="BodyText21">
    <w:name w:val="Body Text 2"/>
    <w:basedOn w:val="Normal"/>
    <w:pPr>
      <w:ind w:left="720"/>
    </w:pPr>
    <w:rPr>
      <w:rFonts w:ascii="Times New Roman" w:hAnsi="Times New Roman"/>
      <w:sz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sz w:val="24"/>
    </w:rPr>
  </w:style>
  <w:style w:type="paragraph" w:styleId="Footer">
    <w:name w:val="footer"/>
    <w:basedOn w:val="Normal"/>
    <w:pPr>
      <w:tabs>
        <w:tab w:val="center" w:pos="4320"/>
        <w:tab w:val="right" w:pos="8640"/>
      </w:tabs>
    </w:pPr>
  </w:style>
  <w:style w:type="character" w:styleId="FootnoteReference">
    <w:name w:val="footnote reference"/>
    <w:basedOn w:val="DefaultParagraphFont"/>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sz w:val="24"/>
      <w:u w:val="single"/>
    </w:rPr>
  </w:style>
  <w:style w:type="paragraph" w:styleId="Heading4">
    <w:name w:val="heading 4"/>
    <w:basedOn w:val="Normal"/>
    <w:next w:val="Normal"/>
    <w:qFormat/>
    <w:pPr>
      <w:keepNext/>
      <w:tabs>
        <w:tab w:val="left" w:pos="360"/>
      </w:tabs>
      <w:outlineLvl w:val="3"/>
    </w:pPr>
    <w:rPr>
      <w:rFonts w:ascii="Times New Roman" w:hAnsi="Times New Roman"/>
      <w:b/>
      <w:sz w:val="24"/>
      <w:u w:val="single"/>
    </w:rPr>
  </w:style>
  <w:style w:type="paragraph" w:styleId="Heading5">
    <w:name w:val="heading 5"/>
    <w:basedOn w:val="Normal"/>
    <w:next w:val="Normal"/>
    <w:qFormat/>
    <w:pPr>
      <w:keepNext/>
      <w:jc w:val="center"/>
      <w:outlineLvl w:val="4"/>
    </w:pPr>
    <w:rPr>
      <w:rFonts w:ascii="Times New Roman" w:hAnsi="Times New Roman"/>
      <w:b/>
      <w:sz w:val="24"/>
    </w:rPr>
  </w:style>
  <w:style w:type="paragraph" w:styleId="Heading6">
    <w:name w:val="heading 6"/>
    <w:basedOn w:val="Normal"/>
    <w:next w:val="Normal"/>
    <w:qFormat/>
    <w:pPr>
      <w:keepNext/>
      <w:ind w:left="4320" w:firstLine="720"/>
      <w:outlineLvl w:val="5"/>
    </w:pPr>
    <w:rPr>
      <w:rFonts w:ascii="Times New Roman" w:hAnsi="Times New Roman"/>
      <w:sz w:val="24"/>
    </w:rPr>
  </w:style>
  <w:style w:type="paragraph" w:styleId="Heading7">
    <w:name w:val="heading 7"/>
    <w:basedOn w:val="Normal"/>
    <w:next w:val="Normal"/>
    <w:qFormat/>
    <w:pPr>
      <w:keepNext/>
      <w:ind w:left="1440" w:firstLine="720"/>
      <w:outlineLvl w:val="6"/>
    </w:pPr>
    <w:rPr>
      <w:rFonts w:ascii="Times New Roman" w:hAnsi="Times New Roman"/>
      <w:sz w:val="24"/>
    </w:rPr>
  </w:style>
  <w:style w:type="paragraph" w:styleId="Heading8">
    <w:name w:val="heading 8"/>
    <w:basedOn w:val="Normal"/>
    <w:next w:val="Normal"/>
    <w:qFormat/>
    <w:pPr>
      <w:keepNext/>
      <w:outlineLvl w:val="7"/>
    </w:pPr>
    <w:rPr>
      <w:rFonts w:ascii="Garamond" w:hAnsi="Garamond"/>
      <w:sz w:val="28"/>
    </w:rPr>
  </w:style>
  <w:style w:type="paragraph" w:styleId="Heading9">
    <w:name w:val="heading 9"/>
    <w:basedOn w:val="Normal"/>
    <w:next w:val="Normal"/>
    <w:qFormat/>
    <w:pPr>
      <w:keepNext/>
      <w:tabs>
        <w:tab w:val="left" w:pos="360"/>
      </w:tabs>
      <w:ind w:left="360" w:hanging="360"/>
      <w:outlineLvl w:val="8"/>
    </w:pPr>
    <w:rPr>
      <w:rFonts w:ascii="Garamond" w:hAnsi="Garamond"/>
      <w:b/>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rPr>
  </w:style>
  <w:style w:type="paragraph" w:styleId="BodyTextIndent2">
    <w:name w:val="Body Text Indent 2"/>
    <w:basedOn w:val="Normal"/>
    <w:pPr>
      <w:ind w:left="720" w:firstLine="720"/>
    </w:pPr>
    <w:rPr>
      <w:rFonts w:ascii="Times New Roman" w:hAnsi="Times New Roman"/>
      <w:sz w:val="24"/>
    </w:rPr>
  </w:style>
  <w:style w:type="paragraph" w:styleId="Title">
    <w:name w:val="Title"/>
    <w:basedOn w:val="Normal"/>
    <w:qFormat/>
    <w:pPr>
      <w:jc w:val="center"/>
    </w:pPr>
    <w:rPr>
      <w:rFonts w:ascii="Times New Roman" w:hAnsi="Times New Roman"/>
      <w:b/>
      <w:sz w:val="24"/>
    </w:rPr>
  </w:style>
  <w:style w:type="paragraph" w:styleId="BodyTextIndent3">
    <w:name w:val="Body Text Indent 3"/>
    <w:basedOn w:val="Normal"/>
    <w:pPr>
      <w:ind w:left="1440" w:hanging="720"/>
    </w:pPr>
    <w:rPr>
      <w:rFonts w:ascii="Times New Roman" w:hAnsi="Times New Roman"/>
      <w:sz w:val="24"/>
    </w:rPr>
  </w:style>
  <w:style w:type="paragraph" w:styleId="BodyText">
    <w:name w:val="Body Text"/>
    <w:basedOn w:val="Normal"/>
    <w:pPr>
      <w:tabs>
        <w:tab w:val="left" w:pos="360"/>
      </w:tabs>
    </w:pPr>
    <w:rPr>
      <w:rFonts w:ascii="Times New Roman" w:hAnsi="Times New Roman"/>
      <w:sz w:val="24"/>
    </w:rPr>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pPr>
      <w:tabs>
        <w:tab w:val="left" w:pos="360"/>
      </w:tabs>
      <w:ind w:left="720" w:right="720"/>
    </w:pPr>
    <w:rPr>
      <w:rFonts w:ascii="Times New Roman" w:hAnsi="Times New Roman"/>
      <w:sz w:val="24"/>
    </w:rPr>
  </w:style>
  <w:style w:type="paragraph" w:styleId="BodyText20">
    <w:name w:val="Body Text 2"/>
    <w:basedOn w:val="Normal"/>
    <w:pPr>
      <w:tabs>
        <w:tab w:val="left" w:pos="360"/>
      </w:tabs>
      <w:ind w:left="360" w:hanging="360"/>
    </w:pPr>
    <w:rPr>
      <w:rFonts w:ascii="Times New Roman" w:hAnsi="Times New Roman"/>
      <w:sz w:val="24"/>
    </w:rPr>
  </w:style>
  <w:style w:type="paragraph" w:styleId="BodyText21">
    <w:name w:val="Body Text 2"/>
    <w:basedOn w:val="Normal"/>
    <w:pPr>
      <w:ind w:left="720"/>
    </w:pPr>
    <w:rPr>
      <w:rFonts w:ascii="Times New Roman" w:hAnsi="Times New Roman"/>
      <w:sz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sz w:val="24"/>
    </w:rPr>
  </w:style>
  <w:style w:type="paragraph" w:styleId="Footer">
    <w:name w:val="footer"/>
    <w:basedOn w:val="Normal"/>
    <w:pPr>
      <w:tabs>
        <w:tab w:val="center" w:pos="4320"/>
        <w:tab w:val="right" w:pos="8640"/>
      </w:tabs>
    </w:pPr>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2</cp:revision>
  <cp:lastPrinted>2002-07-16T08:45:00Z</cp:lastPrinted>
  <dcterms:created xsi:type="dcterms:W3CDTF">2013-05-01T06:09:00Z</dcterms:created>
  <dcterms:modified xsi:type="dcterms:W3CDTF">2013-05-01T06:09:00Z</dcterms:modified>
</cp:coreProperties>
</file>