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704" w:rsidRDefault="006E7995">
      <w:pPr>
        <w:tabs>
          <w:tab w:val="left" w:pos="360"/>
        </w:tabs>
        <w:jc w:val="center"/>
        <w:rPr>
          <w:rFonts w:ascii="Garamond" w:hAnsi="Garamond"/>
          <w:b/>
          <w:sz w:val="24"/>
        </w:rPr>
      </w:pPr>
      <w:bookmarkStart w:id="0" w:name="_GoBack"/>
      <w:bookmarkEnd w:id="0"/>
      <w:r>
        <w:rPr>
          <w:rFonts w:ascii="Garamond" w:hAnsi="Garamond"/>
          <w:b/>
          <w:sz w:val="24"/>
        </w:rPr>
        <w:t>LECTURE 18</w:t>
      </w:r>
    </w:p>
    <w:p w:rsidR="00550704" w:rsidRDefault="00550704">
      <w:pPr>
        <w:tabs>
          <w:tab w:val="left" w:pos="360"/>
        </w:tabs>
        <w:jc w:val="center"/>
        <w:rPr>
          <w:rFonts w:ascii="Garamond" w:hAnsi="Garamond"/>
          <w:b/>
          <w:sz w:val="24"/>
        </w:rPr>
      </w:pPr>
      <w:r>
        <w:rPr>
          <w:rFonts w:ascii="Garamond" w:hAnsi="Garamond"/>
          <w:b/>
          <w:sz w:val="24"/>
        </w:rPr>
        <w:t>Brand Equity Measurement System</w:t>
      </w:r>
    </w:p>
    <w:p w:rsidR="00550704" w:rsidRDefault="00550704">
      <w:pPr>
        <w:tabs>
          <w:tab w:val="left" w:pos="360"/>
        </w:tabs>
        <w:rPr>
          <w:rFonts w:ascii="Garamond" w:hAnsi="Garamond"/>
          <w:sz w:val="24"/>
        </w:rPr>
      </w:pPr>
    </w:p>
    <w:p w:rsidR="00550704" w:rsidRDefault="00550704">
      <w:pPr>
        <w:pStyle w:val="Heading2"/>
        <w:rPr>
          <w:rFonts w:ascii="Garamond" w:hAnsi="Garamond"/>
          <w:u w:val="single"/>
        </w:rPr>
      </w:pPr>
      <w:r>
        <w:rPr>
          <w:rFonts w:ascii="Garamond" w:hAnsi="Garamond"/>
          <w:b/>
          <w:u w:val="single"/>
        </w:rPr>
        <w:t>Overview</w:t>
      </w:r>
    </w:p>
    <w:p w:rsidR="006E7995" w:rsidRDefault="006E7995" w:rsidP="00415666">
      <w:pPr>
        <w:tabs>
          <w:tab w:val="left" w:pos="360"/>
        </w:tabs>
        <w:rPr>
          <w:rFonts w:ascii="Garamond" w:hAnsi="Garamond"/>
          <w:sz w:val="24"/>
        </w:rPr>
      </w:pPr>
    </w:p>
    <w:p w:rsidR="00550704" w:rsidRDefault="00550704" w:rsidP="00415666">
      <w:pPr>
        <w:tabs>
          <w:tab w:val="left" w:pos="360"/>
        </w:tabs>
        <w:rPr>
          <w:rFonts w:ascii="Garamond" w:hAnsi="Garamond"/>
          <w:sz w:val="24"/>
        </w:rPr>
      </w:pPr>
      <w:r>
        <w:rPr>
          <w:rFonts w:ascii="Garamond" w:hAnsi="Garamond"/>
          <w:sz w:val="24"/>
        </w:rPr>
        <w:t xml:space="preserve">If managers are to develop programs designed to build, maintain, or leverage a brand’s equity, they must first understand consumer knowledge structures for the brand. </w:t>
      </w:r>
      <w:r w:rsidR="00415666">
        <w:rPr>
          <w:rFonts w:ascii="Garamond" w:hAnsi="Garamond"/>
          <w:sz w:val="24"/>
        </w:rPr>
        <w:t xml:space="preserve">Marketers need new tools and procedures that justify the value of their expenditures beyond “Return on Marketing Investment” (ROMI) measures tied to short-term changes in sales. </w:t>
      </w:r>
      <w:r>
        <w:rPr>
          <w:rFonts w:ascii="Garamond" w:hAnsi="Garamond"/>
          <w:sz w:val="24"/>
        </w:rPr>
        <w:t xml:space="preserve">This chapter describes various ways to measure those knowledge structures, which represent sources of brand equity. The concept of a brand equity measurement system is introduced. Two components make up a brand equity measurement system: brand tracking studies and brand equity management. Tracking studies measure consumer attitudes toward the brand on a consistent basis over time and provide a contemporary picture of the state of the brand. Five key measures can be used to capture the consumer mindset: brand awareness, brand associations, brand attitudes, brand attachment, and brand activity or experience. </w:t>
      </w:r>
    </w:p>
    <w:p w:rsidR="00550704" w:rsidRDefault="00550704">
      <w:pPr>
        <w:tabs>
          <w:tab w:val="left" w:pos="360"/>
        </w:tabs>
        <w:rPr>
          <w:rFonts w:ascii="Garamond" w:hAnsi="Garamond"/>
          <w:sz w:val="24"/>
        </w:rPr>
      </w:pPr>
    </w:p>
    <w:p w:rsidR="00550704" w:rsidRDefault="00550704">
      <w:pPr>
        <w:tabs>
          <w:tab w:val="left" w:pos="360"/>
        </w:tabs>
        <w:rPr>
          <w:rFonts w:ascii="Garamond" w:hAnsi="Garamond"/>
          <w:sz w:val="24"/>
        </w:rPr>
      </w:pPr>
      <w:r>
        <w:rPr>
          <w:rFonts w:ascii="Garamond" w:hAnsi="Garamond"/>
          <w:sz w:val="24"/>
        </w:rPr>
        <w:t xml:space="preserve">Brand equity management systems consist of three components: a Brand Equity Charter, a Brand Equity Report, and the creation of senior-level executive positions charged with overseeing the implementation of the Brand Equity Charter and Brand Equity Report. The Brand Equity Charter should accomplish the following: define the firm’s view of the brand equity concept and why it is important; describe the scope of key brands; specify the actual and desired brand equity for all brands in the brand hierarchy; explain how brand equity is measured by tracking studies and the Brand Equity Report; provide strategic guidelines for brand equity management; provide specific tactical guidelines for marketing programs; specify proper treatment of brands in terms of trademark usage, packaging, and communications. </w:t>
      </w:r>
    </w:p>
    <w:p w:rsidR="00550704" w:rsidRDefault="00550704">
      <w:pPr>
        <w:tabs>
          <w:tab w:val="left" w:pos="360"/>
        </w:tabs>
        <w:rPr>
          <w:rFonts w:ascii="Garamond" w:hAnsi="Garamond"/>
          <w:sz w:val="24"/>
        </w:rPr>
      </w:pPr>
    </w:p>
    <w:p w:rsidR="00550704" w:rsidRDefault="00550704">
      <w:pPr>
        <w:tabs>
          <w:tab w:val="left" w:pos="360"/>
        </w:tabs>
        <w:rPr>
          <w:rFonts w:ascii="Garamond" w:hAnsi="Garamond"/>
          <w:sz w:val="24"/>
        </w:rPr>
      </w:pPr>
      <w:r>
        <w:rPr>
          <w:rFonts w:ascii="Garamond" w:hAnsi="Garamond"/>
          <w:sz w:val="24"/>
        </w:rPr>
        <w:t xml:space="preserve">The Brand Equity Report should provide description as to what is happening with a brand as well as to why it is happening. It should also include all relevant internal and external measures of brand performance as well as sources and outcomes of brand equity. To provide adequate management, it is important for companies to establish a position of Vice President or Director of Strategic Brand Management to oversee the implementation of the Charter and Report and provide central coordination for all branding activities. </w:t>
      </w:r>
    </w:p>
    <w:p w:rsidR="00550704" w:rsidRDefault="00550704">
      <w:pPr>
        <w:tabs>
          <w:tab w:val="left" w:pos="360"/>
        </w:tabs>
        <w:rPr>
          <w:rFonts w:ascii="Garamond" w:hAnsi="Garamond"/>
          <w:sz w:val="24"/>
        </w:rPr>
      </w:pPr>
    </w:p>
    <w:p w:rsidR="00550704" w:rsidRDefault="00550704">
      <w:pPr>
        <w:tabs>
          <w:tab w:val="left" w:pos="360"/>
        </w:tabs>
        <w:rPr>
          <w:rFonts w:ascii="Garamond" w:hAnsi="Garamond"/>
          <w:sz w:val="24"/>
        </w:rPr>
      </w:pPr>
      <w:r>
        <w:rPr>
          <w:rFonts w:ascii="Garamond" w:hAnsi="Garamond"/>
          <w:sz w:val="24"/>
        </w:rPr>
        <w:t xml:space="preserve">The chapter introduces the brand value chain as a means by which marketers can relate marketing investment to financial performance. By using a series of three multipliers – the marketing program multiplier, the customer multiplier, and the market multiplier – companies can develop a sense of how their investment in their brands is paying off in the marketplace. The chapter conducts a brief brand value chain analysis for three brands: Starbucks, Miller, and Reebok. </w:t>
      </w:r>
    </w:p>
    <w:p w:rsidR="00415666" w:rsidRDefault="00415666">
      <w:pPr>
        <w:tabs>
          <w:tab w:val="left" w:pos="360"/>
        </w:tabs>
        <w:rPr>
          <w:rFonts w:ascii="Garamond" w:hAnsi="Garamond"/>
          <w:sz w:val="24"/>
        </w:rPr>
      </w:pPr>
    </w:p>
    <w:p w:rsidR="00415666" w:rsidRDefault="00415666" w:rsidP="006A52C6">
      <w:pPr>
        <w:tabs>
          <w:tab w:val="left" w:pos="360"/>
        </w:tabs>
        <w:rPr>
          <w:rFonts w:ascii="Garamond" w:hAnsi="Garamond"/>
          <w:sz w:val="24"/>
        </w:rPr>
      </w:pPr>
      <w:r>
        <w:rPr>
          <w:rFonts w:ascii="Garamond" w:hAnsi="Garamond"/>
          <w:sz w:val="24"/>
        </w:rPr>
        <w:t xml:space="preserve">Brand Focus 8.0 </w:t>
      </w:r>
      <w:r w:rsidR="00FE6104">
        <w:rPr>
          <w:rFonts w:ascii="Garamond" w:hAnsi="Garamond"/>
          <w:sz w:val="24"/>
        </w:rPr>
        <w:t xml:space="preserve">discusses </w:t>
      </w:r>
      <w:r w:rsidR="006A52C6">
        <w:rPr>
          <w:rFonts w:ascii="Garamond" w:hAnsi="Garamond"/>
          <w:sz w:val="24"/>
        </w:rPr>
        <w:t>branding issues and perspectives</w:t>
      </w:r>
      <w:r w:rsidR="00FE6104">
        <w:rPr>
          <w:rFonts w:ascii="Garamond" w:hAnsi="Garamond"/>
          <w:sz w:val="24"/>
        </w:rPr>
        <w:t xml:space="preserve"> at Ogilvy &amp; Mather</w:t>
      </w:r>
      <w:r w:rsidR="006A52C6">
        <w:rPr>
          <w:rFonts w:ascii="Garamond" w:hAnsi="Garamond"/>
          <w:sz w:val="24"/>
        </w:rPr>
        <w:t xml:space="preserve"> (O&amp;M)</w:t>
      </w:r>
      <w:r w:rsidR="00FE6104">
        <w:rPr>
          <w:rFonts w:ascii="Garamond" w:hAnsi="Garamond"/>
          <w:sz w:val="24"/>
        </w:rPr>
        <w:t>, one of the world’s largest advertising agencies</w:t>
      </w:r>
      <w:r w:rsidR="006A52C6">
        <w:rPr>
          <w:rFonts w:ascii="Garamond" w:hAnsi="Garamond"/>
          <w:sz w:val="24"/>
        </w:rPr>
        <w:t xml:space="preserve">. O&amp;M brand management is described through a three-step process called 360 Degree Brand Stewardship. The steps are: 1) Discovery, 2) Strategy &amp; Planning, and 3) Execution. </w:t>
      </w:r>
    </w:p>
    <w:p w:rsidR="00550704" w:rsidRDefault="00550704">
      <w:pPr>
        <w:tabs>
          <w:tab w:val="left" w:pos="360"/>
        </w:tabs>
        <w:rPr>
          <w:rFonts w:ascii="Garamond" w:hAnsi="Garamond"/>
          <w:sz w:val="24"/>
        </w:rPr>
      </w:pPr>
    </w:p>
    <w:p w:rsidR="00550704" w:rsidRDefault="00550704">
      <w:pPr>
        <w:pStyle w:val="Heading1"/>
        <w:rPr>
          <w:rFonts w:ascii="Garamond" w:hAnsi="Garamond"/>
        </w:rPr>
      </w:pPr>
      <w:r>
        <w:rPr>
          <w:rFonts w:ascii="Garamond" w:hAnsi="Garamond"/>
          <w:b/>
        </w:rPr>
        <w:lastRenderedPageBreak/>
        <w:t xml:space="preserve">Key take-away points </w:t>
      </w:r>
    </w:p>
    <w:p w:rsidR="00550704" w:rsidRDefault="00550704">
      <w:pPr>
        <w:tabs>
          <w:tab w:val="left" w:pos="360"/>
        </w:tabs>
        <w:spacing w:before="120"/>
        <w:ind w:left="360" w:hanging="360"/>
        <w:rPr>
          <w:rFonts w:ascii="Garamond" w:hAnsi="Garamond"/>
          <w:sz w:val="24"/>
        </w:rPr>
      </w:pPr>
      <w:r>
        <w:rPr>
          <w:rFonts w:ascii="Garamond" w:hAnsi="Garamond"/>
          <w:sz w:val="24"/>
        </w:rPr>
        <w:t>1.</w:t>
      </w:r>
      <w:r>
        <w:rPr>
          <w:rFonts w:ascii="Garamond" w:hAnsi="Garamond"/>
          <w:sz w:val="24"/>
        </w:rPr>
        <w:tab/>
        <w:t>Understanding what consumers believe, think, know and infer about a brand is critical to building and managing brand equity.</w:t>
      </w:r>
    </w:p>
    <w:p w:rsidR="00550704" w:rsidRDefault="00550704">
      <w:pPr>
        <w:tabs>
          <w:tab w:val="left" w:pos="360"/>
        </w:tabs>
        <w:spacing w:before="120"/>
        <w:ind w:left="360" w:hanging="360"/>
        <w:rPr>
          <w:rFonts w:ascii="Garamond" w:hAnsi="Garamond"/>
          <w:sz w:val="24"/>
        </w:rPr>
      </w:pPr>
      <w:r>
        <w:rPr>
          <w:rFonts w:ascii="Garamond" w:hAnsi="Garamond"/>
          <w:sz w:val="24"/>
        </w:rPr>
        <w:t>2.</w:t>
      </w:r>
      <w:r>
        <w:rPr>
          <w:rFonts w:ascii="Garamond" w:hAnsi="Garamond"/>
          <w:sz w:val="24"/>
        </w:rPr>
        <w:tab/>
        <w:t>Measuring brand equity requires uncovering the associations consumers have for a brand, determining the strength, favorability and uniqueness of those associations, and assessing the impact of brand knowledge on consumer response to marketing programs.</w:t>
      </w:r>
    </w:p>
    <w:p w:rsidR="00550704" w:rsidRDefault="00550704">
      <w:pPr>
        <w:tabs>
          <w:tab w:val="left" w:pos="360"/>
        </w:tabs>
        <w:spacing w:before="120"/>
        <w:ind w:left="360" w:hanging="360"/>
        <w:rPr>
          <w:rFonts w:ascii="Garamond" w:hAnsi="Garamond"/>
          <w:sz w:val="24"/>
        </w:rPr>
      </w:pPr>
      <w:r>
        <w:rPr>
          <w:rFonts w:ascii="Garamond" w:hAnsi="Garamond"/>
          <w:sz w:val="24"/>
        </w:rPr>
        <w:t>3.</w:t>
      </w:r>
      <w:r>
        <w:rPr>
          <w:rFonts w:ascii="Garamond" w:hAnsi="Garamond"/>
          <w:sz w:val="24"/>
        </w:rPr>
        <w:tab/>
        <w:t>The purpose of a brand equity measurement system is to provide timely, accurate and actionable information that marketers can use in their tactical and strategic decision-making.</w:t>
      </w:r>
    </w:p>
    <w:p w:rsidR="00550704" w:rsidRDefault="00550704">
      <w:pPr>
        <w:tabs>
          <w:tab w:val="left" w:pos="360"/>
        </w:tabs>
        <w:spacing w:before="120"/>
        <w:ind w:left="360" w:hanging="360"/>
        <w:rPr>
          <w:rFonts w:ascii="Garamond" w:hAnsi="Garamond"/>
          <w:sz w:val="24"/>
        </w:rPr>
      </w:pPr>
      <w:r>
        <w:rPr>
          <w:rFonts w:ascii="Garamond" w:hAnsi="Garamond"/>
          <w:sz w:val="24"/>
        </w:rPr>
        <w:t>4.</w:t>
      </w:r>
      <w:r>
        <w:rPr>
          <w:rFonts w:ascii="Garamond" w:hAnsi="Garamond"/>
          <w:sz w:val="24"/>
        </w:rPr>
        <w:tab/>
        <w:t>The brand value chain can be used to tie marketing investment to market and financial performance.</w:t>
      </w:r>
    </w:p>
    <w:p w:rsidR="00550704" w:rsidRDefault="00550704">
      <w:pPr>
        <w:spacing w:before="120"/>
        <w:ind w:left="360" w:hanging="360"/>
        <w:rPr>
          <w:rFonts w:ascii="Garamond" w:hAnsi="Garamond"/>
          <w:sz w:val="24"/>
        </w:rPr>
      </w:pPr>
      <w:r>
        <w:rPr>
          <w:rFonts w:ascii="Garamond" w:hAnsi="Garamond"/>
          <w:sz w:val="24"/>
        </w:rPr>
        <w:t>5.</w:t>
      </w:r>
      <w:r>
        <w:rPr>
          <w:rFonts w:ascii="Garamond" w:hAnsi="Garamond"/>
          <w:sz w:val="24"/>
        </w:rPr>
        <w:tab/>
        <w:t xml:space="preserve">Brand equity management systems involve the creation of a Brand Equity Charter and Brand Equity Report, plus the development of senior management to oversee the implementation of these tools. </w:t>
      </w:r>
    </w:p>
    <w:p w:rsidR="00550704" w:rsidRDefault="00550704">
      <w:pPr>
        <w:spacing w:line="240" w:lineRule="atLeast"/>
        <w:jc w:val="center"/>
        <w:rPr>
          <w:rFonts w:ascii="Garamond" w:hAnsi="Garamond"/>
          <w:b/>
          <w:i/>
          <w:sz w:val="24"/>
        </w:rPr>
      </w:pPr>
      <w:r>
        <w:rPr>
          <w:rFonts w:ascii="Garamond" w:hAnsi="Garamond"/>
          <w:sz w:val="24"/>
        </w:rPr>
        <w:br w:type="page"/>
      </w:r>
      <w:r w:rsidR="00470589">
        <w:rPr>
          <w:rFonts w:ascii="Garamond" w:hAnsi="Garamond"/>
          <w:b/>
          <w:i/>
          <w:sz w:val="24"/>
        </w:rPr>
        <w:lastRenderedPageBreak/>
        <w:t>BRANDING BRIEF 8-7</w:t>
      </w:r>
    </w:p>
    <w:p w:rsidR="00550704" w:rsidRDefault="00550704">
      <w:pPr>
        <w:jc w:val="center"/>
        <w:rPr>
          <w:rFonts w:ascii="Garamond" w:hAnsi="Garamond"/>
          <w:sz w:val="24"/>
        </w:rPr>
      </w:pPr>
      <w:r>
        <w:rPr>
          <w:rFonts w:ascii="Garamond" w:hAnsi="Garamond"/>
          <w:b/>
          <w:i/>
          <w:caps/>
          <w:sz w:val="24"/>
        </w:rPr>
        <w:t>corporate masterbrand ge</w:t>
      </w:r>
    </w:p>
    <w:p w:rsidR="00550704" w:rsidRDefault="00550704">
      <w:pPr>
        <w:rPr>
          <w:rFonts w:ascii="Garamond" w:hAnsi="Garamond"/>
          <w:sz w:val="24"/>
        </w:rPr>
      </w:pPr>
    </w:p>
    <w:p w:rsidR="00550704" w:rsidRDefault="00550704">
      <w:pPr>
        <w:rPr>
          <w:rFonts w:ascii="Garamond" w:hAnsi="Garamond"/>
          <w:sz w:val="24"/>
        </w:rPr>
      </w:pPr>
    </w:p>
    <w:p w:rsidR="00550704" w:rsidRDefault="00550704">
      <w:pPr>
        <w:rPr>
          <w:rFonts w:ascii="Garamond" w:hAnsi="Garamond"/>
          <w:sz w:val="24"/>
        </w:rPr>
      </w:pPr>
      <w:r>
        <w:rPr>
          <w:rFonts w:ascii="Garamond" w:hAnsi="Garamond"/>
          <w:sz w:val="24"/>
        </w:rPr>
        <w:t xml:space="preserve">GE was established in 1892 when Edison General Electric merged with Thomson-Houston. The company produced light bulbs, elevators, motors, and appliances. Early success for the company came as a result of J.P. Morgan’s financial backing and a focus on research and development. The company evolved over the next century into one of the world’s biggest companies, with a diverse portfolio of products and businesses. It is among the largest </w:t>
      </w:r>
      <w:smartTag w:uri="urn:schemas-microsoft-com:office:smarttags" w:element="place">
        <w:smartTag w:uri="urn:schemas-microsoft-com:office:smarttags" w:element="country-region">
          <w:r>
            <w:rPr>
              <w:rFonts w:ascii="Garamond" w:hAnsi="Garamond"/>
              <w:sz w:val="24"/>
            </w:rPr>
            <w:t>U.S.</w:t>
          </w:r>
        </w:smartTag>
      </w:smartTag>
      <w:r>
        <w:rPr>
          <w:rFonts w:ascii="Garamond" w:hAnsi="Garamond"/>
          <w:sz w:val="24"/>
        </w:rPr>
        <w:t xml:space="preserve"> companies in terms of revenues. GE offers an incredible variety of products, from consumer electronics and industrial power to financial services and television broadcasting. Other operating segments include plastics, aircraft engines, and technical products and services for medicine and science. Under the leadership of Jack Welch, who became GE’s CEO in 1981, the company enjoyed two decades of unprecedented growth and prosperity. </w:t>
      </w:r>
    </w:p>
    <w:p w:rsidR="00550704" w:rsidRDefault="00550704">
      <w:pPr>
        <w:ind w:firstLine="720"/>
        <w:rPr>
          <w:rFonts w:ascii="Garamond" w:hAnsi="Garamond"/>
          <w:sz w:val="24"/>
        </w:rPr>
      </w:pPr>
    </w:p>
    <w:p w:rsidR="00550704" w:rsidRDefault="00550704">
      <w:pPr>
        <w:rPr>
          <w:rFonts w:ascii="Garamond" w:hAnsi="Garamond"/>
          <w:sz w:val="24"/>
        </w:rPr>
      </w:pPr>
      <w:r>
        <w:rPr>
          <w:rFonts w:ascii="Garamond" w:hAnsi="Garamond"/>
          <w:sz w:val="24"/>
        </w:rPr>
        <w:t xml:space="preserve">Welch is widely praised as a visionary business leader today due to his performance at GE. Once he took charge of the company, Welch dramatically restructured the industrial giant by decentralizing the company’s operations. Welch also sought to expand GE’s business with highly profitable ventures, and worked to shed the company of low performing businesses, such as air-conditioning and housewares. This massive restructuring came at a significant cost to GE’s workforce: between 1981 and 1985, the company cut 100,000 jobs. </w:t>
      </w:r>
    </w:p>
    <w:p w:rsidR="00550704" w:rsidRDefault="00550704">
      <w:pPr>
        <w:ind w:firstLine="720"/>
        <w:rPr>
          <w:rFonts w:ascii="Garamond" w:hAnsi="Garamond"/>
          <w:sz w:val="24"/>
        </w:rPr>
      </w:pPr>
    </w:p>
    <w:p w:rsidR="00550704" w:rsidRDefault="00550704">
      <w:pPr>
        <w:rPr>
          <w:rFonts w:ascii="Garamond" w:hAnsi="Garamond"/>
          <w:sz w:val="24"/>
        </w:rPr>
      </w:pPr>
      <w:r>
        <w:rPr>
          <w:rFonts w:ascii="Garamond" w:hAnsi="Garamond"/>
          <w:sz w:val="24"/>
        </w:rPr>
        <w:t xml:space="preserve">Once the restructuring was completed, Welch pursued an aggressive acquisition strategy. Some of the major acquisitions included GE’s purchases of NBC Television in 1986, and Kidder, </w:t>
      </w:r>
      <w:smartTag w:uri="urn:schemas-microsoft-com:office:smarttags" w:element="place">
        <w:smartTag w:uri="urn:schemas-microsoft-com:office:smarttags" w:element="City">
          <w:r>
            <w:rPr>
              <w:rFonts w:ascii="Garamond" w:hAnsi="Garamond"/>
              <w:sz w:val="24"/>
            </w:rPr>
            <w:t>Peabody</w:t>
          </w:r>
        </w:smartTag>
      </w:smartTag>
      <w:r>
        <w:rPr>
          <w:rFonts w:ascii="Garamond" w:hAnsi="Garamond"/>
          <w:sz w:val="24"/>
        </w:rPr>
        <w:t xml:space="preserve"> investment bank in 1990 (which it later sold to Paine Webber). In the 1990s, Welch greatly expanded the historically small GE Capital Services with bank and insurance company acquisitions. GE Capital now operates a diverse range of 27 </w:t>
      </w:r>
      <w:proofErr w:type="gramStart"/>
      <w:r>
        <w:rPr>
          <w:rFonts w:ascii="Garamond" w:hAnsi="Garamond"/>
          <w:sz w:val="24"/>
        </w:rPr>
        <w:t>business</w:t>
      </w:r>
      <w:proofErr w:type="gramEnd"/>
      <w:r>
        <w:rPr>
          <w:rFonts w:ascii="Garamond" w:hAnsi="Garamond"/>
          <w:sz w:val="24"/>
        </w:rPr>
        <w:t xml:space="preserve">, including real estate, insurance, finance, heavy equipment leasing, and provides over 40 percent of the company’s revenues. The pace of acquisitions increased between 1997 and 2000, during which time GE averaged more than 100 acquisitions per year. In 1999, GE acquired 134 companies worth $17 billion. In 2000, Welch oversaw the company’s biggest acquisition during his tenure, the $45 billion purchase of manufacturing titan Honeywell International. </w:t>
      </w:r>
    </w:p>
    <w:p w:rsidR="00550704" w:rsidRDefault="00550704">
      <w:pPr>
        <w:rPr>
          <w:rFonts w:ascii="Garamond" w:hAnsi="Garamond"/>
          <w:sz w:val="24"/>
        </w:rPr>
      </w:pPr>
    </w:p>
    <w:p w:rsidR="00550704" w:rsidRDefault="00550704">
      <w:pPr>
        <w:rPr>
          <w:rFonts w:ascii="Garamond" w:hAnsi="Garamond"/>
          <w:sz w:val="24"/>
        </w:rPr>
      </w:pPr>
      <w:r>
        <w:rPr>
          <w:rFonts w:ascii="Garamond" w:hAnsi="Garamond"/>
          <w:sz w:val="24"/>
        </w:rPr>
        <w:t>Today, GE has 49 strategic business units operating under the larger master brand. Despite its size, the company is able to react to the fast pace of the New Economy. In 2000, the company reorganized GE Information Systems into an e-commerce unit called GE Global Exchange Services and a support unit named GE Systems Services. These two units manage the world’s largest electronic trading community, comprised of more than 100,000 trading partners. Additionally, at Welch’s urging, GE employees saved billions of dollars for the company by finding ways to involve the Web in their jobs. The company also developed an online network to monitor its manufacturing practices, put its human resources reviews online, and established a 24/7 service center for its plants. Welch sees GE as well-positioned to take advantage of the Internet, because he thinks content is the easy part of e-commerce while “infrastructure is the hard part, and we have the infrastructure to capitalize on.”</w:t>
      </w:r>
      <w:r>
        <w:rPr>
          <w:rStyle w:val="FootnoteReference"/>
          <w:rFonts w:ascii="Garamond" w:hAnsi="Garamond"/>
          <w:sz w:val="24"/>
        </w:rPr>
        <w:footnoteReference w:id="1"/>
      </w:r>
      <w:r>
        <w:rPr>
          <w:rFonts w:ascii="Garamond" w:hAnsi="Garamond"/>
          <w:sz w:val="24"/>
        </w:rPr>
        <w:t xml:space="preserve"> </w:t>
      </w:r>
    </w:p>
    <w:p w:rsidR="00550704" w:rsidRDefault="00550704">
      <w:pPr>
        <w:rPr>
          <w:rFonts w:ascii="Garamond" w:hAnsi="Garamond"/>
          <w:sz w:val="24"/>
        </w:rPr>
      </w:pPr>
    </w:p>
    <w:p w:rsidR="00550704" w:rsidRDefault="00550704">
      <w:pPr>
        <w:rPr>
          <w:rFonts w:ascii="Garamond" w:hAnsi="Garamond"/>
          <w:sz w:val="24"/>
        </w:rPr>
      </w:pPr>
      <w:r>
        <w:rPr>
          <w:rFonts w:ascii="Garamond" w:hAnsi="Garamond"/>
          <w:sz w:val="24"/>
        </w:rPr>
        <w:lastRenderedPageBreak/>
        <w:t xml:space="preserve">In the 20 years while Jack Welch was at GE’s helm, the company has prospered tremendously. GE stock rose 3,098 percent between April 1981 and February 2001, compared with 896 percent growth for the S&amp;P 500 during that same period. Once he named his successor – Jeffrey </w:t>
      </w:r>
      <w:proofErr w:type="spellStart"/>
      <w:r>
        <w:rPr>
          <w:rFonts w:ascii="Garamond" w:hAnsi="Garamond"/>
          <w:sz w:val="24"/>
        </w:rPr>
        <w:t>Immelt</w:t>
      </w:r>
      <w:proofErr w:type="spellEnd"/>
      <w:r>
        <w:rPr>
          <w:rFonts w:ascii="Garamond" w:hAnsi="Garamond"/>
          <w:sz w:val="24"/>
        </w:rPr>
        <w:t xml:space="preserve">, head of GE’s medical imaging business – in November, 2000, analysts wondered what effect the change would have on the company. </w:t>
      </w:r>
      <w:proofErr w:type="spellStart"/>
      <w:r>
        <w:rPr>
          <w:rFonts w:ascii="Garamond" w:hAnsi="Garamond"/>
          <w:sz w:val="24"/>
        </w:rPr>
        <w:t>Immelt</w:t>
      </w:r>
      <w:proofErr w:type="spellEnd"/>
      <w:r>
        <w:rPr>
          <w:rFonts w:ascii="Garamond" w:hAnsi="Garamond"/>
          <w:sz w:val="24"/>
        </w:rPr>
        <w:t>, like Welch, has professed a dedication to the Internet. He describes it as “a transformational technology that is right in our sweet spot.”</w:t>
      </w:r>
      <w:r>
        <w:rPr>
          <w:rStyle w:val="FootnoteReference"/>
          <w:rFonts w:ascii="Garamond" w:hAnsi="Garamond"/>
          <w:sz w:val="24"/>
        </w:rPr>
        <w:footnoteReference w:id="2"/>
      </w:r>
      <w:r>
        <w:rPr>
          <w:rFonts w:ascii="Garamond" w:hAnsi="Garamond"/>
          <w:sz w:val="24"/>
        </w:rPr>
        <w:t xml:space="preserve"> What remains to be seen, though, is whether </w:t>
      </w:r>
      <w:proofErr w:type="spellStart"/>
      <w:r>
        <w:rPr>
          <w:rFonts w:ascii="Garamond" w:hAnsi="Garamond"/>
          <w:sz w:val="24"/>
        </w:rPr>
        <w:t>Immelt</w:t>
      </w:r>
      <w:proofErr w:type="spellEnd"/>
      <w:r>
        <w:rPr>
          <w:rFonts w:ascii="Garamond" w:hAnsi="Garamond"/>
          <w:sz w:val="24"/>
        </w:rPr>
        <w:t xml:space="preserve"> will conduct GE through a period of prosperity the way Welch has. </w:t>
      </w:r>
    </w:p>
    <w:p w:rsidR="00550704" w:rsidRDefault="00550704">
      <w:pPr>
        <w:spacing w:line="240" w:lineRule="atLeast"/>
        <w:jc w:val="center"/>
        <w:rPr>
          <w:rFonts w:ascii="Garamond" w:hAnsi="Garamond"/>
          <w:b/>
          <w:i/>
          <w:sz w:val="24"/>
        </w:rPr>
      </w:pPr>
      <w:r>
        <w:rPr>
          <w:rFonts w:ascii="Garamond" w:hAnsi="Garamond"/>
          <w:sz w:val="24"/>
        </w:rPr>
        <w:br w:type="page"/>
      </w:r>
      <w:r w:rsidR="00AC066E">
        <w:rPr>
          <w:rFonts w:ascii="Garamond" w:hAnsi="Garamond"/>
          <w:b/>
          <w:i/>
          <w:sz w:val="24"/>
        </w:rPr>
        <w:lastRenderedPageBreak/>
        <w:t>BRANDING BRIEF 8-8</w:t>
      </w:r>
    </w:p>
    <w:p w:rsidR="00550704" w:rsidRDefault="00550704">
      <w:pPr>
        <w:spacing w:line="240" w:lineRule="atLeast"/>
        <w:jc w:val="center"/>
        <w:rPr>
          <w:rFonts w:ascii="Garamond" w:hAnsi="Garamond"/>
          <w:b/>
          <w:i/>
          <w:caps/>
          <w:sz w:val="24"/>
        </w:rPr>
      </w:pPr>
      <w:r>
        <w:rPr>
          <w:rFonts w:ascii="Garamond" w:hAnsi="Garamond"/>
          <w:b/>
          <w:i/>
          <w:caps/>
          <w:sz w:val="24"/>
        </w:rPr>
        <w:t>On-line tracking at Knowledge Networks</w:t>
      </w:r>
      <w:r>
        <w:rPr>
          <w:rStyle w:val="FootnoteReference"/>
          <w:rFonts w:ascii="Garamond" w:hAnsi="Garamond"/>
          <w:b/>
          <w:i/>
          <w:caps/>
          <w:sz w:val="24"/>
        </w:rPr>
        <w:footnoteReference w:id="3"/>
      </w:r>
    </w:p>
    <w:p w:rsidR="00550704" w:rsidRDefault="00550704">
      <w:pPr>
        <w:ind w:firstLine="720"/>
        <w:rPr>
          <w:rFonts w:ascii="Garamond" w:hAnsi="Garamond"/>
          <w:sz w:val="24"/>
        </w:rPr>
      </w:pPr>
    </w:p>
    <w:p w:rsidR="00550704" w:rsidRDefault="00550704">
      <w:pPr>
        <w:ind w:firstLine="720"/>
        <w:rPr>
          <w:rFonts w:ascii="Garamond" w:hAnsi="Garamond"/>
          <w:sz w:val="24"/>
        </w:rPr>
      </w:pPr>
    </w:p>
    <w:p w:rsidR="00550704" w:rsidRDefault="00550704">
      <w:pPr>
        <w:rPr>
          <w:rFonts w:ascii="Garamond" w:hAnsi="Garamond"/>
          <w:sz w:val="24"/>
        </w:rPr>
      </w:pPr>
      <w:r>
        <w:rPr>
          <w:rFonts w:ascii="Garamond" w:hAnsi="Garamond"/>
          <w:sz w:val="24"/>
        </w:rPr>
        <w:t xml:space="preserve">Marketing research firm Knowledge Networks was founded by two </w:t>
      </w:r>
      <w:smartTag w:uri="urn:schemas-microsoft-com:office:smarttags" w:element="place">
        <w:smartTag w:uri="urn:schemas-microsoft-com:office:smarttags" w:element="PlaceName">
          <w:r>
            <w:rPr>
              <w:rFonts w:ascii="Garamond" w:hAnsi="Garamond"/>
              <w:sz w:val="24"/>
            </w:rPr>
            <w:t>Stanford</w:t>
          </w:r>
        </w:smartTag>
        <w:r>
          <w:rPr>
            <w:rFonts w:ascii="Garamond" w:hAnsi="Garamond"/>
            <w:sz w:val="24"/>
          </w:rPr>
          <w:t xml:space="preserve"> </w:t>
        </w:r>
        <w:smartTag w:uri="urn:schemas-microsoft-com:office:smarttags" w:element="PlaceType">
          <w:r>
            <w:rPr>
              <w:rFonts w:ascii="Garamond" w:hAnsi="Garamond"/>
              <w:sz w:val="24"/>
            </w:rPr>
            <w:t>University</w:t>
          </w:r>
        </w:smartTag>
      </w:smartTag>
      <w:r>
        <w:rPr>
          <w:rFonts w:ascii="Garamond" w:hAnsi="Garamond"/>
          <w:sz w:val="24"/>
        </w:rPr>
        <w:t xml:space="preserve"> professors in 1998. The company is one of the leaders in the emerging field of Internet research. It boasts an online panel of more than 100,000 consumers connected via WebTV interactive television boxes. In order to approximate a cross-section of the </w:t>
      </w:r>
      <w:smartTag w:uri="urn:schemas-microsoft-com:office:smarttags" w:element="country-region">
        <w:r>
          <w:rPr>
            <w:rFonts w:ascii="Garamond" w:hAnsi="Garamond"/>
            <w:sz w:val="24"/>
          </w:rPr>
          <w:t>U.S.</w:t>
        </w:r>
      </w:smartTag>
      <w:r>
        <w:rPr>
          <w:rFonts w:ascii="Garamond" w:hAnsi="Garamond"/>
          <w:sz w:val="24"/>
        </w:rPr>
        <w:t xml:space="preserve"> population, Knowledge Networks uses “random digit dialing” phone surveys – which give each household in the </w:t>
      </w:r>
      <w:smartTag w:uri="urn:schemas-microsoft-com:office:smarttags" w:element="place">
        <w:smartTag w:uri="urn:schemas-microsoft-com:office:smarttags" w:element="country-region">
          <w:r>
            <w:rPr>
              <w:rFonts w:ascii="Garamond" w:hAnsi="Garamond"/>
              <w:sz w:val="24"/>
            </w:rPr>
            <w:t>U.S.</w:t>
          </w:r>
        </w:smartTag>
      </w:smartTag>
      <w:r>
        <w:rPr>
          <w:rFonts w:ascii="Garamond" w:hAnsi="Garamond"/>
          <w:sz w:val="24"/>
        </w:rPr>
        <w:t xml:space="preserve"> an equal probability of selection – to fill its panel. The WebTV survey system has the advantage of allowing panelists to respond at their convenience, as opposed to phone surveys. Interactive televisions operate with a remote control in exactly the same fashion as normal TVs, so Internet literacy is not required for participation in Knowledge Networks research. The network of panelists enables the company to pursue its mission: “To help companies transform their markets by providing valid, timely, and cost-efficient information about consumers.”  </w:t>
      </w:r>
    </w:p>
    <w:p w:rsidR="00550704" w:rsidRDefault="00550704">
      <w:pPr>
        <w:rPr>
          <w:rFonts w:ascii="Garamond" w:hAnsi="Garamond"/>
          <w:sz w:val="24"/>
        </w:rPr>
      </w:pPr>
    </w:p>
    <w:p w:rsidR="00550704" w:rsidRDefault="00550704">
      <w:pPr>
        <w:rPr>
          <w:rFonts w:ascii="Garamond" w:hAnsi="Garamond"/>
          <w:sz w:val="24"/>
        </w:rPr>
      </w:pPr>
      <w:r>
        <w:rPr>
          <w:rFonts w:ascii="Garamond" w:hAnsi="Garamond"/>
          <w:sz w:val="24"/>
        </w:rPr>
        <w:t xml:space="preserve">Knowledge Networks monitors its panelists’ in-home media intake and their purchase behaviors, which allows the company to track spending as it relates to marketing messages. The WebTV sets also enable Knowledge Networks to test advertising for companies in a realistic setting, by simulating commercial television viewing. In addition to product and advertising testing, Knowledge Networks conducts Web surveying. The company conducted numerous polls during the 2000 election season for CBS News and the </w:t>
      </w:r>
      <w:r>
        <w:rPr>
          <w:rFonts w:ascii="Garamond" w:hAnsi="Garamond"/>
          <w:i/>
          <w:sz w:val="24"/>
        </w:rPr>
        <w:t>Washington Post</w:t>
      </w:r>
      <w:r>
        <w:rPr>
          <w:rFonts w:ascii="Garamond" w:hAnsi="Garamond"/>
          <w:sz w:val="24"/>
        </w:rPr>
        <w:t xml:space="preserve">, and even did a lighthearted poll after the TV show </w:t>
      </w:r>
      <w:r>
        <w:rPr>
          <w:rFonts w:ascii="Garamond" w:hAnsi="Garamond"/>
          <w:i/>
          <w:sz w:val="24"/>
        </w:rPr>
        <w:t>Survivor</w:t>
      </w:r>
      <w:r>
        <w:rPr>
          <w:rFonts w:ascii="Garamond" w:hAnsi="Garamond"/>
          <w:sz w:val="24"/>
        </w:rPr>
        <w:t xml:space="preserve"> finale.</w:t>
      </w:r>
    </w:p>
    <w:p w:rsidR="00550704" w:rsidRDefault="00550704">
      <w:pPr>
        <w:rPr>
          <w:rFonts w:ascii="Garamond" w:hAnsi="Garamond"/>
          <w:sz w:val="24"/>
        </w:rPr>
      </w:pPr>
      <w:r>
        <w:rPr>
          <w:rFonts w:ascii="Garamond" w:hAnsi="Garamond"/>
          <w:sz w:val="24"/>
        </w:rPr>
        <w:t xml:space="preserve">    </w:t>
      </w:r>
    </w:p>
    <w:p w:rsidR="00550704" w:rsidRDefault="00550704">
      <w:pPr>
        <w:rPr>
          <w:rFonts w:ascii="Garamond" w:hAnsi="Garamond"/>
          <w:sz w:val="24"/>
        </w:rPr>
      </w:pPr>
      <w:r>
        <w:rPr>
          <w:rFonts w:ascii="Garamond" w:hAnsi="Garamond"/>
          <w:sz w:val="24"/>
        </w:rPr>
        <w:t>Additionally, Knowledge Networks keeps consumer profiles with over 1,000 data points updated weekly for all its panelists, which companies can access to learn about potential customers. The company seeks to become a one-stop marketing research company, performing television- and Internet-usage tracking studies, brand management diagnostics and tracking, product and advertising evaluations, and traditional survey applications. Knowledge Networks claims this comprehensive research coverage yields a “360-degree view of the consumer” by:</w:t>
      </w:r>
    </w:p>
    <w:p w:rsidR="00550704" w:rsidRDefault="00550704">
      <w:pPr>
        <w:numPr>
          <w:ilvl w:val="0"/>
          <w:numId w:val="7"/>
        </w:numPr>
        <w:rPr>
          <w:rFonts w:ascii="Garamond" w:hAnsi="Garamond"/>
          <w:sz w:val="24"/>
        </w:rPr>
      </w:pPr>
      <w:r>
        <w:rPr>
          <w:rFonts w:ascii="Garamond" w:hAnsi="Garamond"/>
          <w:sz w:val="24"/>
        </w:rPr>
        <w:t>Capturing and recording marketing inputs, such as advertising, and environmental factors that affect consumers</w:t>
      </w:r>
    </w:p>
    <w:p w:rsidR="00550704" w:rsidRDefault="00550704">
      <w:pPr>
        <w:numPr>
          <w:ilvl w:val="0"/>
          <w:numId w:val="7"/>
        </w:numPr>
        <w:rPr>
          <w:rFonts w:ascii="Garamond" w:hAnsi="Garamond"/>
          <w:sz w:val="24"/>
        </w:rPr>
      </w:pPr>
      <w:r>
        <w:rPr>
          <w:rFonts w:ascii="Garamond" w:hAnsi="Garamond"/>
          <w:sz w:val="24"/>
        </w:rPr>
        <w:t>Observing and analyzing how consumers process these stimuli and how, in turn, this shapes their thoughts, attitudes, and feelings</w:t>
      </w:r>
    </w:p>
    <w:p w:rsidR="00550704" w:rsidRDefault="00550704">
      <w:pPr>
        <w:numPr>
          <w:ilvl w:val="0"/>
          <w:numId w:val="7"/>
        </w:numPr>
        <w:rPr>
          <w:rFonts w:ascii="Garamond" w:hAnsi="Garamond"/>
          <w:sz w:val="24"/>
        </w:rPr>
      </w:pPr>
      <w:r>
        <w:rPr>
          <w:rFonts w:ascii="Garamond" w:hAnsi="Garamond"/>
          <w:sz w:val="24"/>
        </w:rPr>
        <w:t>Tracking what action consumers take in response to their experience of these stimuli</w:t>
      </w:r>
    </w:p>
    <w:p w:rsidR="00550704" w:rsidRDefault="00550704">
      <w:pPr>
        <w:ind w:left="360" w:hanging="360"/>
        <w:rPr>
          <w:rFonts w:ascii="Garamond" w:hAnsi="Garamond"/>
          <w:sz w:val="24"/>
        </w:rPr>
      </w:pPr>
    </w:p>
    <w:sectPr w:rsidR="00550704" w:rsidSect="00FC4BE7">
      <w:headerReference w:type="even" r:id="rId8"/>
      <w:footerReference w:type="even" r:id="rId9"/>
      <w:footerReference w:type="default" r:id="rId10"/>
      <w:pgSz w:w="12240" w:h="15840"/>
      <w:pgMar w:top="1440" w:right="1800" w:bottom="1440" w:left="1800" w:header="720" w:footer="720" w:gutter="0"/>
      <w:pgNumType w:start="4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19E" w:rsidRDefault="009D719E">
      <w:r>
        <w:separator/>
      </w:r>
    </w:p>
  </w:endnote>
  <w:endnote w:type="continuationSeparator" w:id="0">
    <w:p w:rsidR="009D719E" w:rsidRDefault="009D7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notTrueType/>
    <w:pitch w:val="variable"/>
    <w:sig w:usb0="00000003" w:usb1="00000000" w:usb2="00000000" w:usb3="00000000" w:csb0="00000001" w:csb1="00000000"/>
  </w:font>
  <w:font w:name="Roman 10cpi">
    <w:panose1 w:val="00000000000000000000"/>
    <w:charset w:val="00"/>
    <w:family w:val="moder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104" w:rsidRDefault="00FE61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E6104" w:rsidRDefault="00FE610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104" w:rsidRDefault="00FE6104">
    <w:pPr>
      <w:pStyle w:val="Footer"/>
      <w:framePr w:wrap="around" w:vAnchor="text" w:hAnchor="margin" w:xAlign="center" w:y="1"/>
      <w:rPr>
        <w:rStyle w:val="PageNumber"/>
        <w:rFonts w:ascii="Times New Roman" w:hAnsi="Times New Roman"/>
        <w:sz w:val="24"/>
      </w:rPr>
    </w:pPr>
    <w:r>
      <w:rPr>
        <w:rStyle w:val="PageNumber"/>
        <w:rFonts w:ascii="Times New Roman" w:hAnsi="Times New Roman"/>
        <w:sz w:val="24"/>
      </w:rPr>
      <w:fldChar w:fldCharType="begin"/>
    </w:r>
    <w:r>
      <w:rPr>
        <w:rStyle w:val="PageNumber"/>
        <w:rFonts w:ascii="Times New Roman" w:hAnsi="Times New Roman"/>
        <w:sz w:val="24"/>
      </w:rPr>
      <w:instrText xml:space="preserve">PAGE  </w:instrText>
    </w:r>
    <w:r>
      <w:rPr>
        <w:rStyle w:val="PageNumber"/>
        <w:rFonts w:ascii="Times New Roman" w:hAnsi="Times New Roman"/>
        <w:sz w:val="24"/>
      </w:rPr>
      <w:fldChar w:fldCharType="separate"/>
    </w:r>
    <w:r w:rsidR="006E7995">
      <w:rPr>
        <w:rStyle w:val="PageNumber"/>
        <w:rFonts w:ascii="Times New Roman" w:hAnsi="Times New Roman"/>
        <w:noProof/>
        <w:sz w:val="24"/>
      </w:rPr>
      <w:t>40</w:t>
    </w:r>
    <w:r>
      <w:rPr>
        <w:rStyle w:val="PageNumber"/>
        <w:rFonts w:ascii="Times New Roman" w:hAnsi="Times New Roman"/>
        <w:sz w:val="24"/>
      </w:rPr>
      <w:fldChar w:fldCharType="end"/>
    </w:r>
  </w:p>
  <w:p w:rsidR="00FE6104" w:rsidRDefault="00FE6104">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19E" w:rsidRDefault="009D719E">
      <w:r>
        <w:separator/>
      </w:r>
    </w:p>
  </w:footnote>
  <w:footnote w:type="continuationSeparator" w:id="0">
    <w:p w:rsidR="009D719E" w:rsidRDefault="009D719E">
      <w:r>
        <w:continuationSeparator/>
      </w:r>
    </w:p>
  </w:footnote>
  <w:footnote w:id="1">
    <w:p w:rsidR="00FE6104" w:rsidRDefault="00FE6104">
      <w:pPr>
        <w:pStyle w:val="FootnoteText"/>
        <w:rPr>
          <w:rFonts w:ascii="Times New Roman" w:hAnsi="Times New Roman"/>
        </w:rPr>
      </w:pPr>
      <w:r>
        <w:rPr>
          <w:rStyle w:val="FootnoteReference"/>
        </w:rPr>
        <w:footnoteRef/>
      </w:r>
      <w:r>
        <w:t xml:space="preserve"> </w:t>
      </w:r>
      <w:proofErr w:type="spellStart"/>
      <w:r>
        <w:rPr>
          <w:rFonts w:ascii="Times New Roman" w:hAnsi="Times New Roman"/>
        </w:rPr>
        <w:t>McGinn</w:t>
      </w:r>
      <w:proofErr w:type="spellEnd"/>
      <w:r>
        <w:rPr>
          <w:rFonts w:ascii="Times New Roman" w:hAnsi="Times New Roman"/>
        </w:rPr>
        <w:t xml:space="preserve">, Daniel. “Jack Welch Goes Surfing.” </w:t>
      </w:r>
      <w:proofErr w:type="gramStart"/>
      <w:r>
        <w:rPr>
          <w:rFonts w:ascii="Times New Roman" w:hAnsi="Times New Roman"/>
          <w:i/>
        </w:rPr>
        <w:t>Newsweek</w:t>
      </w:r>
      <w:r>
        <w:rPr>
          <w:rFonts w:ascii="Times New Roman" w:hAnsi="Times New Roman"/>
        </w:rPr>
        <w:t>.</w:t>
      </w:r>
      <w:proofErr w:type="gramEnd"/>
      <w:r>
        <w:rPr>
          <w:rFonts w:ascii="Times New Roman" w:hAnsi="Times New Roman"/>
        </w:rPr>
        <w:t xml:space="preserve"> </w:t>
      </w:r>
      <w:smartTag w:uri="urn:schemas-microsoft-com:office:smarttags" w:element="date">
        <w:smartTagPr>
          <w:attr w:name="Year" w:val="2000"/>
          <w:attr w:name="Day" w:val="25"/>
          <w:attr w:name="Month" w:val="12"/>
        </w:smartTagPr>
        <w:r>
          <w:rPr>
            <w:rFonts w:ascii="Times New Roman" w:hAnsi="Times New Roman"/>
          </w:rPr>
          <w:t>December 25, 2000</w:t>
        </w:r>
      </w:smartTag>
    </w:p>
  </w:footnote>
  <w:footnote w:id="2">
    <w:p w:rsidR="00FE6104" w:rsidRDefault="00FE6104">
      <w:pPr>
        <w:pStyle w:val="FootnoteText"/>
      </w:pPr>
      <w:r>
        <w:rPr>
          <w:rStyle w:val="FootnoteReference"/>
          <w:rFonts w:ascii="Times New Roman" w:hAnsi="Times New Roman"/>
        </w:rPr>
        <w:footnoteRef/>
      </w:r>
      <w:r>
        <w:rPr>
          <w:rFonts w:ascii="Times New Roman" w:hAnsi="Times New Roman"/>
        </w:rPr>
        <w:t xml:space="preserve"> </w:t>
      </w:r>
      <w:proofErr w:type="spellStart"/>
      <w:r>
        <w:rPr>
          <w:rFonts w:ascii="Times New Roman" w:hAnsi="Times New Roman"/>
        </w:rPr>
        <w:t>Useem</w:t>
      </w:r>
      <w:proofErr w:type="spellEnd"/>
      <w:r>
        <w:rPr>
          <w:rFonts w:ascii="Times New Roman" w:hAnsi="Times New Roman"/>
        </w:rPr>
        <w:t xml:space="preserve">, Jerry. </w:t>
      </w:r>
      <w:proofErr w:type="gramStart"/>
      <w:r>
        <w:rPr>
          <w:rFonts w:ascii="Times New Roman" w:hAnsi="Times New Roman"/>
        </w:rPr>
        <w:t>“Meet ‘</w:t>
      </w:r>
      <w:smartTag w:uri="urn:schemas-microsoft-com:office:smarttags" w:element="place">
        <w:smartTag w:uri="urn:schemas-microsoft-com:office:smarttags" w:element="City">
          <w:r>
            <w:rPr>
              <w:rFonts w:ascii="Times New Roman" w:hAnsi="Times New Roman"/>
            </w:rPr>
            <w:t>Da</w:t>
          </w:r>
        </w:smartTag>
        <w:r>
          <w:rPr>
            <w:rFonts w:ascii="Times New Roman" w:hAnsi="Times New Roman"/>
          </w:rPr>
          <w:t xml:space="preserve"> </w:t>
        </w:r>
        <w:smartTag w:uri="urn:schemas-microsoft-com:office:smarttags" w:element="State">
          <w:r>
            <w:rPr>
              <w:rFonts w:ascii="Times New Roman" w:hAnsi="Times New Roman"/>
            </w:rPr>
            <w:t>Man.</w:t>
          </w:r>
        </w:smartTag>
      </w:smartTag>
      <w:r>
        <w:rPr>
          <w:rFonts w:ascii="Times New Roman" w:hAnsi="Times New Roman"/>
        </w:rPr>
        <w:t>’” Fortune.</w:t>
      </w:r>
      <w:proofErr w:type="gramEnd"/>
      <w:r>
        <w:rPr>
          <w:rFonts w:ascii="Times New Roman" w:hAnsi="Times New Roman"/>
        </w:rPr>
        <w:t xml:space="preserve"> </w:t>
      </w:r>
      <w:smartTag w:uri="urn:schemas-microsoft-com:office:smarttags" w:element="date">
        <w:smartTagPr>
          <w:attr w:name="Year" w:val="2001"/>
          <w:attr w:name="Day" w:val="8"/>
          <w:attr w:name="Month" w:val="1"/>
        </w:smartTagPr>
        <w:r>
          <w:rPr>
            <w:rFonts w:ascii="Times New Roman" w:hAnsi="Times New Roman"/>
          </w:rPr>
          <w:t>January 8, 2001</w:t>
        </w:r>
      </w:smartTag>
    </w:p>
  </w:footnote>
  <w:footnote w:id="3">
    <w:p w:rsidR="00FE6104" w:rsidRDefault="00FE6104">
      <w:pPr>
        <w:rPr>
          <w:rFonts w:ascii="Garamond" w:hAnsi="Garamond"/>
        </w:rPr>
      </w:pPr>
      <w:r>
        <w:rPr>
          <w:rStyle w:val="FootnoteReference"/>
          <w:rFonts w:ascii="Garamond" w:hAnsi="Garamond"/>
        </w:rPr>
        <w:footnoteRef/>
      </w:r>
      <w:r>
        <w:rPr>
          <w:rFonts w:ascii="Garamond" w:hAnsi="Garamond"/>
        </w:rPr>
        <w:t xml:space="preserve"> </w:t>
      </w:r>
      <w:hyperlink r:id="rId1" w:history="1">
        <w:proofErr w:type="gramStart"/>
        <w:r>
          <w:rPr>
            <w:rStyle w:val="Hyperlink"/>
            <w:rFonts w:ascii="Garamond" w:hAnsi="Garamond"/>
          </w:rPr>
          <w:t>www.knowledgenetworks.com</w:t>
        </w:r>
      </w:hyperlink>
      <w:r>
        <w:rPr>
          <w:rFonts w:ascii="Garamond" w:hAnsi="Garamond"/>
        </w:rPr>
        <w:t>; Peter Sinton.</w:t>
      </w:r>
      <w:proofErr w:type="gramEnd"/>
      <w:r>
        <w:rPr>
          <w:rFonts w:ascii="Garamond" w:hAnsi="Garamond"/>
        </w:rPr>
        <w:t xml:space="preserve"> “Polling Using the Internet Seeks to Improve Accuracy.” </w:t>
      </w:r>
      <w:proofErr w:type="gramStart"/>
      <w:r>
        <w:rPr>
          <w:rFonts w:ascii="Garamond" w:hAnsi="Garamond"/>
          <w:i/>
        </w:rPr>
        <w:t>San Francisco Chronicle</w:t>
      </w:r>
      <w:r>
        <w:rPr>
          <w:rFonts w:ascii="Garamond" w:hAnsi="Garamond"/>
        </w:rPr>
        <w:t xml:space="preserve">, </w:t>
      </w:r>
      <w:smartTag w:uri="urn:schemas-microsoft-com:office:smarttags" w:element="date">
        <w:smartTagPr>
          <w:attr w:name="Year" w:val="2000"/>
          <w:attr w:name="Day" w:val="28"/>
          <w:attr w:name="Month" w:val="10"/>
        </w:smartTagPr>
        <w:r>
          <w:rPr>
            <w:rFonts w:ascii="Garamond" w:hAnsi="Garamond"/>
          </w:rPr>
          <w:t>October 28, 2000</w:t>
        </w:r>
      </w:smartTag>
      <w:r>
        <w:rPr>
          <w:rFonts w:ascii="Garamond" w:hAnsi="Garamond"/>
        </w:rPr>
        <w:t xml:space="preserve">; Rebecca </w:t>
      </w:r>
      <w:proofErr w:type="spellStart"/>
      <w:r>
        <w:rPr>
          <w:rFonts w:ascii="Garamond" w:hAnsi="Garamond"/>
        </w:rPr>
        <w:t>Buckman</w:t>
      </w:r>
      <w:proofErr w:type="spellEnd"/>
      <w:r>
        <w:rPr>
          <w:rFonts w:ascii="Garamond" w:hAnsi="Garamond"/>
        </w:rPr>
        <w:t>.</w:t>
      </w:r>
      <w:proofErr w:type="gramEnd"/>
      <w:r>
        <w:rPr>
          <w:rFonts w:ascii="Garamond" w:hAnsi="Garamond"/>
        </w:rPr>
        <w:t xml:space="preserve"> “Pollster Aims at One-Stop Marketing Shop.” </w:t>
      </w:r>
      <w:r>
        <w:rPr>
          <w:rFonts w:ascii="Garamond" w:hAnsi="Garamond"/>
          <w:i/>
        </w:rPr>
        <w:t>Wall Street Journal</w:t>
      </w:r>
      <w:r>
        <w:rPr>
          <w:rFonts w:ascii="Garamond" w:hAnsi="Garamond"/>
        </w:rPr>
        <w:t xml:space="preserve">, </w:t>
      </w:r>
      <w:smartTag w:uri="urn:schemas-microsoft-com:office:smarttags" w:element="date">
        <w:smartTagPr>
          <w:attr w:name="Year" w:val="2000"/>
          <w:attr w:name="Day" w:val="7"/>
          <w:attr w:name="Month" w:val="9"/>
        </w:smartTagPr>
        <w:r>
          <w:rPr>
            <w:rFonts w:ascii="Garamond" w:hAnsi="Garamond"/>
          </w:rPr>
          <w:t>September 7, 2000</w:t>
        </w:r>
      </w:smartTag>
      <w:r>
        <w:rPr>
          <w:rFonts w:ascii="Garamond" w:hAnsi="Garamond"/>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104" w:rsidRDefault="00FE6104">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E6104" w:rsidRDefault="00FE61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E277D"/>
    <w:multiLevelType w:val="hybridMultilevel"/>
    <w:tmpl w:val="AF1AF0D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26B368D7"/>
    <w:multiLevelType w:val="hybridMultilevel"/>
    <w:tmpl w:val="BE88100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31302883"/>
    <w:multiLevelType w:val="hybridMultilevel"/>
    <w:tmpl w:val="188AEE3A"/>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
    <w:nsid w:val="3E20102B"/>
    <w:multiLevelType w:val="multilevel"/>
    <w:tmpl w:val="F2B6B710"/>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4">
    <w:nsid w:val="5FE80367"/>
    <w:multiLevelType w:val="hybridMultilevel"/>
    <w:tmpl w:val="5F3AB40E"/>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60ED3150"/>
    <w:multiLevelType w:val="hybridMultilevel"/>
    <w:tmpl w:val="AD2E50E4"/>
    <w:lvl w:ilvl="0">
      <w:start w:val="3"/>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688032B4"/>
    <w:multiLevelType w:val="hybridMultilevel"/>
    <w:tmpl w:val="3A9E3EB6"/>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4"/>
  </w:num>
  <w:num w:numId="2">
    <w:abstractNumId w:val="0"/>
  </w:num>
  <w:num w:numId="3">
    <w:abstractNumId w:val="2"/>
  </w:num>
  <w:num w:numId="4">
    <w:abstractNumId w:val="6"/>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5AC"/>
    <w:rsid w:val="00133E39"/>
    <w:rsid w:val="0025324F"/>
    <w:rsid w:val="00415666"/>
    <w:rsid w:val="00470589"/>
    <w:rsid w:val="00550704"/>
    <w:rsid w:val="006A52C6"/>
    <w:rsid w:val="006E7995"/>
    <w:rsid w:val="00785507"/>
    <w:rsid w:val="009D719E"/>
    <w:rsid w:val="00A96DE8"/>
    <w:rsid w:val="00AC066E"/>
    <w:rsid w:val="00AD5902"/>
    <w:rsid w:val="00B952F1"/>
    <w:rsid w:val="00C336C3"/>
    <w:rsid w:val="00C57D47"/>
    <w:rsid w:val="00E109C6"/>
    <w:rsid w:val="00EE35AC"/>
    <w:rsid w:val="00F149AF"/>
    <w:rsid w:val="00F91220"/>
    <w:rsid w:val="00FC4BE7"/>
    <w:rsid w:val="00FE61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dat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Roman 10cpi" w:hAnsi="Roman 10cpi"/>
      <w:lang w:val="en-US" w:eastAsia="en-US"/>
    </w:rPr>
  </w:style>
  <w:style w:type="paragraph" w:styleId="Heading1">
    <w:name w:val="heading 1"/>
    <w:basedOn w:val="Normal"/>
    <w:next w:val="Normal"/>
    <w:qFormat/>
    <w:pPr>
      <w:keepNext/>
      <w:tabs>
        <w:tab w:val="left" w:pos="360"/>
      </w:tabs>
      <w:outlineLvl w:val="0"/>
    </w:pPr>
    <w:rPr>
      <w:rFonts w:ascii="Times New Roman" w:hAnsi="Times New Roman"/>
      <w:sz w:val="24"/>
      <w:szCs w:val="24"/>
      <w:u w:val="single"/>
    </w:rPr>
  </w:style>
  <w:style w:type="paragraph" w:styleId="Heading2">
    <w:name w:val="heading 2"/>
    <w:basedOn w:val="Normal"/>
    <w:next w:val="Normal"/>
    <w:qFormat/>
    <w:pPr>
      <w:keepNext/>
      <w:tabs>
        <w:tab w:val="left" w:pos="360"/>
      </w:tabs>
      <w:outlineLvl w:val="1"/>
    </w:pPr>
    <w:rPr>
      <w:rFonts w:ascii="Times New Roman" w:hAnsi="Times New Roman"/>
      <w:sz w:val="24"/>
      <w:szCs w:val="24"/>
    </w:rPr>
  </w:style>
  <w:style w:type="paragraph" w:styleId="Heading3">
    <w:name w:val="heading 3"/>
    <w:basedOn w:val="Normal"/>
    <w:next w:val="Normal"/>
    <w:qFormat/>
    <w:pPr>
      <w:keepNext/>
      <w:tabs>
        <w:tab w:val="left" w:pos="360"/>
      </w:tabs>
      <w:ind w:left="720" w:right="720"/>
      <w:outlineLvl w:val="2"/>
    </w:pPr>
    <w:rPr>
      <w:rFonts w:ascii="Times New Roman" w:hAnsi="Times New Roman"/>
      <w:b/>
      <w:bCs/>
      <w:sz w:val="24"/>
      <w:szCs w:val="24"/>
      <w:u w:val="single"/>
    </w:rPr>
  </w:style>
  <w:style w:type="paragraph" w:styleId="Heading4">
    <w:name w:val="heading 4"/>
    <w:basedOn w:val="Normal"/>
    <w:next w:val="Normal"/>
    <w:qFormat/>
    <w:pPr>
      <w:keepNext/>
      <w:tabs>
        <w:tab w:val="left" w:pos="360"/>
      </w:tabs>
      <w:outlineLvl w:val="3"/>
    </w:pPr>
    <w:rPr>
      <w:rFonts w:ascii="Times New Roman" w:hAnsi="Times New Roman"/>
      <w:b/>
      <w:bCs/>
      <w:sz w:val="24"/>
      <w:szCs w:val="24"/>
      <w:u w:val="single"/>
    </w:rPr>
  </w:style>
  <w:style w:type="paragraph" w:styleId="Heading5">
    <w:name w:val="heading 5"/>
    <w:basedOn w:val="Normal"/>
    <w:next w:val="Normal"/>
    <w:qFormat/>
    <w:pPr>
      <w:keepNext/>
      <w:jc w:val="center"/>
      <w:outlineLvl w:val="4"/>
    </w:pPr>
    <w:rPr>
      <w:rFonts w:ascii="Times New Roman" w:hAnsi="Times New Roman"/>
      <w:b/>
      <w:bCs/>
      <w:sz w:val="24"/>
      <w:szCs w:val="24"/>
    </w:rPr>
  </w:style>
  <w:style w:type="paragraph" w:styleId="Heading6">
    <w:name w:val="heading 6"/>
    <w:basedOn w:val="Normal"/>
    <w:next w:val="Normal"/>
    <w:qFormat/>
    <w:pPr>
      <w:keepNext/>
      <w:ind w:left="4320" w:firstLine="720"/>
      <w:outlineLvl w:val="5"/>
    </w:pPr>
    <w:rPr>
      <w:rFonts w:ascii="Times New Roman" w:hAnsi="Times New Roman"/>
      <w:sz w:val="24"/>
      <w:szCs w:val="24"/>
    </w:rPr>
  </w:style>
  <w:style w:type="paragraph" w:styleId="Heading7">
    <w:name w:val="heading 7"/>
    <w:basedOn w:val="Normal"/>
    <w:next w:val="Normal"/>
    <w:qFormat/>
    <w:pPr>
      <w:keepNext/>
      <w:ind w:left="1440" w:firstLine="720"/>
      <w:outlineLvl w:val="6"/>
    </w:pPr>
    <w:rPr>
      <w:rFonts w:ascii="Times New Roman" w:hAnsi="Times New Roman"/>
      <w:sz w:val="24"/>
      <w:szCs w:val="24"/>
    </w:rPr>
  </w:style>
  <w:style w:type="paragraph" w:styleId="Heading8">
    <w:name w:val="heading 8"/>
    <w:basedOn w:val="Normal"/>
    <w:next w:val="Normal"/>
    <w:qFormat/>
    <w:pPr>
      <w:keepNext/>
      <w:outlineLvl w:val="7"/>
    </w:pPr>
    <w:rPr>
      <w:rFonts w:ascii="Garamond" w:hAnsi="Garamond"/>
      <w:sz w:val="28"/>
      <w:szCs w:val="28"/>
    </w:rPr>
  </w:style>
  <w:style w:type="paragraph" w:styleId="Heading9">
    <w:name w:val="heading 9"/>
    <w:basedOn w:val="Normal"/>
    <w:next w:val="Normal"/>
    <w:qFormat/>
    <w:pPr>
      <w:keepNext/>
      <w:tabs>
        <w:tab w:val="left" w:pos="360"/>
      </w:tabs>
      <w:ind w:left="360" w:hanging="360"/>
      <w:outlineLvl w:val="8"/>
    </w:pPr>
    <w:rPr>
      <w:rFonts w:ascii="Garamond" w:hAnsi="Garamond"/>
      <w:b/>
      <w:bCs/>
      <w:sz w:val="24"/>
      <w:szCs w:val="24"/>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tabs>
        <w:tab w:val="left" w:pos="360"/>
      </w:tabs>
      <w:ind w:left="360" w:hanging="360"/>
    </w:pPr>
    <w:rPr>
      <w:rFonts w:ascii="Garamond" w:hAnsi="Garamond"/>
      <w:sz w:val="24"/>
      <w:szCs w:val="24"/>
    </w:rPr>
  </w:style>
  <w:style w:type="paragraph" w:styleId="BodyTextIndent2">
    <w:name w:val="Body Text Indent 2"/>
    <w:basedOn w:val="Normal"/>
    <w:pPr>
      <w:ind w:left="720" w:firstLine="720"/>
    </w:pPr>
    <w:rPr>
      <w:rFonts w:ascii="Times New Roman" w:hAnsi="Times New Roman"/>
      <w:sz w:val="24"/>
      <w:szCs w:val="24"/>
    </w:rPr>
  </w:style>
  <w:style w:type="paragraph" w:styleId="Title">
    <w:name w:val="Title"/>
    <w:basedOn w:val="Normal"/>
    <w:qFormat/>
    <w:pPr>
      <w:jc w:val="center"/>
    </w:pPr>
    <w:rPr>
      <w:rFonts w:ascii="Times New Roman" w:hAnsi="Times New Roman"/>
      <w:b/>
      <w:bCs/>
      <w:sz w:val="24"/>
      <w:szCs w:val="24"/>
    </w:rPr>
  </w:style>
  <w:style w:type="paragraph" w:styleId="BodyTextIndent3">
    <w:name w:val="Body Text Indent 3"/>
    <w:basedOn w:val="Normal"/>
    <w:pPr>
      <w:ind w:left="1440" w:hanging="720"/>
    </w:pPr>
    <w:rPr>
      <w:rFonts w:ascii="Times New Roman" w:hAnsi="Times New Roman"/>
      <w:sz w:val="24"/>
      <w:szCs w:val="24"/>
    </w:rPr>
  </w:style>
  <w:style w:type="paragraph" w:styleId="BodyText">
    <w:name w:val="Body Text"/>
    <w:basedOn w:val="Normal"/>
    <w:pPr>
      <w:tabs>
        <w:tab w:val="left" w:pos="360"/>
      </w:tabs>
    </w:pPr>
    <w:rPr>
      <w:rFonts w:ascii="Times New Roman" w:hAnsi="Times New Roman"/>
      <w:sz w:val="24"/>
      <w:szCs w:val="24"/>
    </w:rPr>
  </w:style>
  <w:style w:type="paragraph" w:styleId="DocumentMap">
    <w:name w:val="Document Map"/>
    <w:basedOn w:val="Normal"/>
    <w:semiHidden/>
    <w:pPr>
      <w:shd w:val="clear" w:color="auto" w:fill="000080"/>
    </w:pPr>
    <w:rPr>
      <w:rFonts w:ascii="Tahoma" w:hAnsi="Tahoma" w:cs="Tahoma"/>
    </w:rPr>
  </w:style>
  <w:style w:type="paragraph" w:styleId="BlockText">
    <w:name w:val="Block Text"/>
    <w:basedOn w:val="Normal"/>
    <w:pPr>
      <w:tabs>
        <w:tab w:val="left" w:pos="360"/>
      </w:tabs>
      <w:ind w:left="720" w:right="720"/>
    </w:pPr>
    <w:rPr>
      <w:rFonts w:ascii="Times New Roman" w:hAnsi="Times New Roman"/>
      <w:sz w:val="24"/>
      <w:szCs w:val="24"/>
    </w:rPr>
  </w:style>
  <w:style w:type="paragraph" w:styleId="BodyText20">
    <w:name w:val="Body Text 2"/>
    <w:basedOn w:val="Normal"/>
    <w:pPr>
      <w:tabs>
        <w:tab w:val="left" w:pos="360"/>
      </w:tabs>
      <w:ind w:left="360" w:hanging="360"/>
    </w:pPr>
    <w:rPr>
      <w:rFonts w:ascii="Times New Roman" w:hAnsi="Times New Roman"/>
      <w:sz w:val="24"/>
      <w:szCs w:val="24"/>
    </w:rPr>
  </w:style>
  <w:style w:type="paragraph" w:styleId="BodyText21">
    <w:name w:val="Body Text 2"/>
    <w:basedOn w:val="Normal"/>
    <w:pPr>
      <w:ind w:left="720"/>
    </w:pPr>
    <w:rPr>
      <w:rFonts w:ascii="Times New Roman" w:hAnsi="Times New Roman"/>
      <w:sz w:val="24"/>
      <w:szCs w:val="24"/>
    </w:rPr>
  </w:style>
  <w:style w:type="paragraph" w:styleId="BodyTextIndent">
    <w:name w:val="Body Text Indent"/>
    <w:basedOn w:val="Normal"/>
    <w:pPr>
      <w:spacing w:before="120" w:line="240" w:lineRule="atLeast"/>
      <w:ind w:left="720" w:hanging="720"/>
    </w:pPr>
    <w:rPr>
      <w:rFonts w:ascii="Garamond" w:hAnsi="Garamond"/>
      <w:sz w:val="24"/>
      <w:szCs w:val="24"/>
    </w:r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spacing w:line="240" w:lineRule="exact"/>
    </w:pPr>
    <w:rPr>
      <w:rFonts w:ascii="Garamond" w:hAnsi="Garamond"/>
      <w:b/>
      <w:bCs/>
      <w:sz w:val="24"/>
      <w:szCs w:val="24"/>
    </w:rPr>
  </w:style>
  <w:style w:type="paragraph" w:styleId="Footer">
    <w:name w:val="footer"/>
    <w:basedOn w:val="Normal"/>
    <w:pPr>
      <w:tabs>
        <w:tab w:val="center" w:pos="4320"/>
        <w:tab w:val="right" w:pos="8640"/>
      </w:tabs>
    </w:p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knowledgenetwork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1574</Words>
  <Characters>8975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Sample Course Outline – 30 Sessions</vt:lpstr>
    </vt:vector>
  </TitlesOfParts>
  <Company>Dartmouth College</Company>
  <LinksUpToDate>false</LinksUpToDate>
  <CharactersWithSpaces>10528</CharactersWithSpaces>
  <SharedDoc>false</SharedDoc>
  <HLinks>
    <vt:vector size="6" baseType="variant">
      <vt:variant>
        <vt:i4>6225940</vt:i4>
      </vt:variant>
      <vt:variant>
        <vt:i4>0</vt:i4>
      </vt:variant>
      <vt:variant>
        <vt:i4>0</vt:i4>
      </vt:variant>
      <vt:variant>
        <vt:i4>5</vt:i4>
      </vt:variant>
      <vt:variant>
        <vt:lpwstr>http://www.knowledgenetworks.com/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Course Outline – 30 Sessions</dc:title>
  <dc:subject/>
  <dc:creator>Wake Forest University</dc:creator>
  <cp:keywords/>
  <dc:description/>
  <cp:lastModifiedBy>ZEENAT JABBAR</cp:lastModifiedBy>
  <cp:revision>2</cp:revision>
  <cp:lastPrinted>2002-07-16T08:55:00Z</cp:lastPrinted>
  <dcterms:created xsi:type="dcterms:W3CDTF">2013-06-16T12:20:00Z</dcterms:created>
  <dcterms:modified xsi:type="dcterms:W3CDTF">2013-06-16T12:20:00Z</dcterms:modified>
</cp:coreProperties>
</file>