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BAE" w:rsidRDefault="00D52954">
      <w:pPr>
        <w:tabs>
          <w:tab w:val="left" w:pos="360"/>
        </w:tabs>
        <w:jc w:val="center"/>
        <w:rPr>
          <w:rFonts w:ascii="Garamond" w:hAnsi="Garamond"/>
          <w:b/>
          <w:sz w:val="24"/>
        </w:rPr>
      </w:pPr>
      <w:r>
        <w:rPr>
          <w:rFonts w:ascii="Garamond" w:hAnsi="Garamond"/>
          <w:b/>
          <w:sz w:val="24"/>
        </w:rPr>
        <w:t>LECTURE 16</w:t>
      </w:r>
    </w:p>
    <w:p w:rsidR="00C44BAE" w:rsidRDefault="00C44BAE">
      <w:pPr>
        <w:tabs>
          <w:tab w:val="left" w:pos="360"/>
        </w:tabs>
        <w:jc w:val="center"/>
        <w:rPr>
          <w:rFonts w:ascii="Garamond" w:hAnsi="Garamond"/>
          <w:b/>
          <w:sz w:val="24"/>
        </w:rPr>
      </w:pPr>
      <w:r>
        <w:rPr>
          <w:rFonts w:ascii="Garamond" w:hAnsi="Garamond"/>
          <w:b/>
          <w:sz w:val="24"/>
        </w:rPr>
        <w:t>Leveraging Brand Knowledge to Build Brand Equity</w:t>
      </w:r>
    </w:p>
    <w:p w:rsidR="00C44BAE" w:rsidRDefault="00C44BAE">
      <w:pPr>
        <w:tabs>
          <w:tab w:val="left" w:pos="360"/>
        </w:tabs>
        <w:rPr>
          <w:rFonts w:ascii="Garamond" w:hAnsi="Garamond"/>
          <w:sz w:val="24"/>
        </w:rPr>
      </w:pPr>
    </w:p>
    <w:p w:rsidR="00C44BAE" w:rsidRDefault="00C44BAE">
      <w:pPr>
        <w:tabs>
          <w:tab w:val="left" w:pos="360"/>
        </w:tabs>
        <w:rPr>
          <w:rFonts w:ascii="Garamond" w:hAnsi="Garamond"/>
          <w:sz w:val="24"/>
        </w:rPr>
      </w:pPr>
    </w:p>
    <w:p w:rsidR="00C44BAE" w:rsidRDefault="00C44BAE">
      <w:pPr>
        <w:pStyle w:val="Heading2"/>
        <w:rPr>
          <w:rFonts w:ascii="Garamond" w:hAnsi="Garamond"/>
          <w:u w:val="single"/>
        </w:rPr>
      </w:pPr>
      <w:r>
        <w:rPr>
          <w:rFonts w:ascii="Garamond" w:hAnsi="Garamond"/>
          <w:b/>
          <w:u w:val="single"/>
        </w:rPr>
        <w:t>Overview</w:t>
      </w:r>
    </w:p>
    <w:p w:rsidR="00D52954" w:rsidRDefault="00D52954">
      <w:pPr>
        <w:tabs>
          <w:tab w:val="left" w:pos="360"/>
        </w:tabs>
        <w:rPr>
          <w:rFonts w:ascii="Garamond" w:hAnsi="Garamond"/>
          <w:sz w:val="24"/>
        </w:rPr>
      </w:pPr>
    </w:p>
    <w:p w:rsidR="00C44BAE" w:rsidRDefault="00C44BAE">
      <w:pPr>
        <w:tabs>
          <w:tab w:val="left" w:pos="360"/>
        </w:tabs>
        <w:rPr>
          <w:rFonts w:ascii="Garamond" w:hAnsi="Garamond"/>
          <w:sz w:val="24"/>
        </w:rPr>
      </w:pPr>
      <w:r>
        <w:rPr>
          <w:rFonts w:ascii="Garamond" w:hAnsi="Garamond"/>
          <w:sz w:val="24"/>
        </w:rPr>
        <w:t>This chapter addresses the way in which secondary associations can be leveraged to build brand equity. Secondary associations are those related to other entities to which a brand is linked, such as the parent company, country of origin, channels of distribution, spokespeople, events, characters, other brands, and third-party sources. The link may lead consumers to assume or infer that beliefs, attitudes and perceptions they have for the external source also hold for the brand. This ability to “borrow” equity from the people, places, or things associated with the brand creates additional leverage for marketers beyond that generated by brand elements and marketing programs.</w:t>
      </w:r>
    </w:p>
    <w:p w:rsidR="00C44BAE" w:rsidRDefault="00C44BAE">
      <w:pPr>
        <w:tabs>
          <w:tab w:val="left" w:pos="360"/>
        </w:tabs>
        <w:rPr>
          <w:rFonts w:ascii="Garamond" w:hAnsi="Garamond"/>
          <w:sz w:val="24"/>
        </w:rPr>
      </w:pPr>
    </w:p>
    <w:p w:rsidR="00C44BAE" w:rsidRDefault="00C44BAE">
      <w:pPr>
        <w:tabs>
          <w:tab w:val="left" w:pos="360"/>
        </w:tabs>
        <w:rPr>
          <w:rFonts w:ascii="Garamond" w:hAnsi="Garamond"/>
          <w:sz w:val="24"/>
        </w:rPr>
      </w:pPr>
      <w:r>
        <w:rPr>
          <w:rFonts w:ascii="Garamond" w:hAnsi="Garamond"/>
          <w:sz w:val="24"/>
        </w:rPr>
        <w:t xml:space="preserve">Leverage can only occur when consumers are familiar with the external source and associations for the source are relevant to the brand. The leveraged associations are most likely to be considered in brand choice decisions when consumers have low interest or knowledge levels. Three criteria for evaluating the extent of leverage resulting from brand linkage to another entity: awareness of knowledge of entity, meaningfulness of the entity’s knowledge, transferability of the entity’s knowledge. </w:t>
      </w:r>
    </w:p>
    <w:p w:rsidR="00C44BAE" w:rsidRDefault="00C44BAE">
      <w:pPr>
        <w:tabs>
          <w:tab w:val="left" w:pos="360"/>
        </w:tabs>
        <w:rPr>
          <w:rFonts w:ascii="Garamond" w:hAnsi="Garamond"/>
          <w:sz w:val="24"/>
        </w:rPr>
      </w:pPr>
    </w:p>
    <w:p w:rsidR="00C44BAE" w:rsidRDefault="00C44BAE">
      <w:pPr>
        <w:tabs>
          <w:tab w:val="left" w:pos="360"/>
        </w:tabs>
        <w:rPr>
          <w:rFonts w:ascii="Garamond" w:hAnsi="Garamond"/>
          <w:sz w:val="24"/>
        </w:rPr>
      </w:pPr>
      <w:bookmarkStart w:id="0" w:name="_GoBack"/>
      <w:bookmarkEnd w:id="0"/>
      <w:r>
        <w:rPr>
          <w:rFonts w:ascii="Garamond" w:hAnsi="Garamond"/>
          <w:sz w:val="24"/>
        </w:rPr>
        <w:t xml:space="preserve">The chapter notes that attempts to leverage secondary associations require the company to relinquish some control over the branding process. In particular, managing the transfer process so that only the relevant secondary associations become linked to the brand may be difficult. Unwanted secondary associations may also become linked to the brand. For example, if one of two brands in a co-branding agreement becomes a target for negative publicity, the other brand may find its brand equity negatively affected as well. </w:t>
      </w:r>
    </w:p>
    <w:p w:rsidR="00C44BAE" w:rsidRDefault="00C44BAE">
      <w:pPr>
        <w:tabs>
          <w:tab w:val="left" w:pos="360"/>
        </w:tabs>
        <w:rPr>
          <w:rFonts w:ascii="Garamond" w:hAnsi="Garamond"/>
          <w:sz w:val="24"/>
        </w:rPr>
      </w:pPr>
    </w:p>
    <w:p w:rsidR="00C44BAE" w:rsidRDefault="00C44BAE">
      <w:pPr>
        <w:tabs>
          <w:tab w:val="left" w:pos="360"/>
        </w:tabs>
        <w:rPr>
          <w:rFonts w:ascii="Garamond" w:hAnsi="Garamond"/>
          <w:sz w:val="24"/>
        </w:rPr>
      </w:pPr>
      <w:r>
        <w:rPr>
          <w:rFonts w:ascii="Garamond" w:hAnsi="Garamond"/>
          <w:sz w:val="24"/>
        </w:rPr>
        <w:t xml:space="preserve">Brand Focus 7.0 discusses one of the biggest events for corporate sponsorship, the Olympic Games. Companies spend up to $50 to be lead sponsors for the Games, and then spend as much as $100 million on related marketing activities; however, not everyone thinks the Games provide good value since the increasing commercialization of the competition makes it harder to break through the clutter. </w:t>
      </w:r>
    </w:p>
    <w:p w:rsidR="00C44BAE" w:rsidRDefault="00C44BAE">
      <w:pPr>
        <w:tabs>
          <w:tab w:val="left" w:pos="360"/>
        </w:tabs>
        <w:rPr>
          <w:rFonts w:ascii="Garamond" w:hAnsi="Garamond"/>
          <w:sz w:val="24"/>
        </w:rPr>
      </w:pPr>
    </w:p>
    <w:p w:rsidR="00C44BAE" w:rsidRDefault="00D52954">
      <w:pPr>
        <w:pStyle w:val="Heading1"/>
        <w:rPr>
          <w:rFonts w:ascii="Garamond" w:hAnsi="Garamond"/>
        </w:rPr>
      </w:pPr>
      <w:r>
        <w:rPr>
          <w:rFonts w:ascii="Garamond" w:hAnsi="Garamond"/>
          <w:b/>
        </w:rPr>
        <w:br w:type="page"/>
      </w:r>
      <w:r w:rsidR="00C44BAE">
        <w:rPr>
          <w:rFonts w:ascii="Garamond" w:hAnsi="Garamond"/>
          <w:b/>
        </w:rPr>
        <w:lastRenderedPageBreak/>
        <w:t>Key take-away points</w:t>
      </w:r>
    </w:p>
    <w:p w:rsidR="00C44BAE" w:rsidRDefault="00C44BAE">
      <w:pPr>
        <w:tabs>
          <w:tab w:val="left" w:pos="360"/>
        </w:tabs>
        <w:spacing w:before="120"/>
        <w:ind w:left="360" w:hanging="360"/>
        <w:rPr>
          <w:rFonts w:ascii="Garamond" w:hAnsi="Garamond"/>
          <w:sz w:val="24"/>
        </w:rPr>
      </w:pPr>
      <w:r>
        <w:rPr>
          <w:rFonts w:ascii="Garamond" w:hAnsi="Garamond"/>
          <w:sz w:val="24"/>
        </w:rPr>
        <w:t>1.</w:t>
      </w:r>
      <w:r>
        <w:rPr>
          <w:rFonts w:ascii="Garamond" w:hAnsi="Garamond"/>
          <w:sz w:val="24"/>
        </w:rPr>
        <w:tab/>
        <w:t>Brands can “borrow” equity from their association with people, places, programs, and other non-product-based sources.</w:t>
      </w:r>
    </w:p>
    <w:p w:rsidR="00C44BAE" w:rsidRDefault="00C44BAE">
      <w:pPr>
        <w:tabs>
          <w:tab w:val="left" w:pos="360"/>
        </w:tabs>
        <w:spacing w:before="120"/>
        <w:ind w:left="360" w:hanging="360"/>
        <w:rPr>
          <w:rFonts w:ascii="Garamond" w:hAnsi="Garamond"/>
          <w:sz w:val="24"/>
        </w:rPr>
      </w:pPr>
      <w:r>
        <w:rPr>
          <w:rFonts w:ascii="Garamond" w:hAnsi="Garamond"/>
          <w:sz w:val="24"/>
        </w:rPr>
        <w:t>2.</w:t>
      </w:r>
      <w:r>
        <w:rPr>
          <w:rFonts w:ascii="Garamond" w:hAnsi="Garamond"/>
          <w:sz w:val="24"/>
        </w:rPr>
        <w:tab/>
        <w:t xml:space="preserve">Secondary associations are strongest when consumers have awareness and strong, favorable, and unique perceptions of the external source. </w:t>
      </w:r>
    </w:p>
    <w:p w:rsidR="00C44BAE" w:rsidRDefault="00C44BAE">
      <w:pPr>
        <w:tabs>
          <w:tab w:val="left" w:pos="360"/>
        </w:tabs>
        <w:spacing w:before="120"/>
        <w:ind w:left="360" w:hanging="360"/>
        <w:rPr>
          <w:rFonts w:ascii="Garamond" w:hAnsi="Garamond"/>
          <w:sz w:val="24"/>
        </w:rPr>
      </w:pPr>
      <w:r>
        <w:rPr>
          <w:rFonts w:ascii="Garamond" w:hAnsi="Garamond"/>
          <w:sz w:val="24"/>
        </w:rPr>
        <w:t>3.</w:t>
      </w:r>
      <w:r>
        <w:rPr>
          <w:rFonts w:ascii="Garamond" w:hAnsi="Garamond"/>
          <w:sz w:val="24"/>
        </w:rPr>
        <w:tab/>
        <w:t>Secondary associations are most likely to affect evaluations when consumers lack the ability or motivation to judge product attributes.</w:t>
      </w:r>
    </w:p>
    <w:p w:rsidR="00C44BAE" w:rsidRDefault="00C44BAE">
      <w:pPr>
        <w:spacing w:before="120"/>
        <w:ind w:left="360" w:hanging="360"/>
        <w:rPr>
          <w:rFonts w:ascii="Garamond" w:hAnsi="Garamond"/>
          <w:sz w:val="24"/>
        </w:rPr>
      </w:pPr>
      <w:r>
        <w:rPr>
          <w:rFonts w:ascii="Garamond" w:hAnsi="Garamond"/>
          <w:sz w:val="24"/>
        </w:rPr>
        <w:t>4.</w:t>
      </w:r>
      <w:r>
        <w:rPr>
          <w:rFonts w:ascii="Garamond" w:hAnsi="Garamond"/>
          <w:sz w:val="24"/>
        </w:rPr>
        <w:tab/>
        <w:t xml:space="preserve">Leveraging secondary associations can be problematic because it requires marketers to give up some degree of control over the branding process. </w:t>
      </w:r>
    </w:p>
    <w:sectPr w:rsidR="00C44BAE" w:rsidSect="00885643">
      <w:headerReference w:type="even" r:id="rId8"/>
      <w:footerReference w:type="even" r:id="rId9"/>
      <w:footerReference w:type="default" r:id="rId10"/>
      <w:pgSz w:w="12240" w:h="15840"/>
      <w:pgMar w:top="1440" w:right="1800" w:bottom="1440" w:left="1800" w:header="720" w:footer="720" w:gutter="0"/>
      <w:pgNumType w:start="3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481" w:rsidRDefault="003A3481">
      <w:r>
        <w:separator/>
      </w:r>
    </w:p>
  </w:endnote>
  <w:endnote w:type="continuationSeparator" w:id="0">
    <w:p w:rsidR="003A3481" w:rsidRDefault="003A3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notTrueType/>
    <w:pitch w:val="variable"/>
    <w:sig w:usb0="00000003" w:usb1="00000000" w:usb2="00000000" w:usb3="00000000" w:csb0="00000001" w:csb1="00000000"/>
  </w:font>
  <w:font w:name="Roman 10cpi">
    <w:panose1 w:val="00000000000000000000"/>
    <w:charset w:val="00"/>
    <w:family w:val="moder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D6E" w:rsidRDefault="00723D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23D6E" w:rsidRDefault="00723D6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D6E" w:rsidRDefault="00723D6E">
    <w:pPr>
      <w:pStyle w:val="Footer"/>
      <w:framePr w:wrap="around" w:vAnchor="text" w:hAnchor="margin" w:xAlign="center" w:y="1"/>
      <w:rPr>
        <w:rStyle w:val="PageNumber"/>
        <w:rFonts w:ascii="Times New Roman" w:hAnsi="Times New Roman"/>
        <w:sz w:val="24"/>
      </w:rPr>
    </w:pPr>
    <w:r>
      <w:rPr>
        <w:rStyle w:val="PageNumber"/>
        <w:rFonts w:ascii="Times New Roman" w:hAnsi="Times New Roman"/>
        <w:sz w:val="24"/>
      </w:rPr>
      <w:fldChar w:fldCharType="begin"/>
    </w:r>
    <w:r>
      <w:rPr>
        <w:rStyle w:val="PageNumber"/>
        <w:rFonts w:ascii="Times New Roman" w:hAnsi="Times New Roman"/>
        <w:sz w:val="24"/>
      </w:rPr>
      <w:instrText xml:space="preserve">PAGE  </w:instrText>
    </w:r>
    <w:r>
      <w:rPr>
        <w:rStyle w:val="PageNumber"/>
        <w:rFonts w:ascii="Times New Roman" w:hAnsi="Times New Roman"/>
        <w:sz w:val="24"/>
      </w:rPr>
      <w:fldChar w:fldCharType="separate"/>
    </w:r>
    <w:r w:rsidR="00D52954">
      <w:rPr>
        <w:rStyle w:val="PageNumber"/>
        <w:rFonts w:ascii="Times New Roman" w:hAnsi="Times New Roman"/>
        <w:noProof/>
        <w:sz w:val="24"/>
      </w:rPr>
      <w:t>37</w:t>
    </w:r>
    <w:r>
      <w:rPr>
        <w:rStyle w:val="PageNumber"/>
        <w:rFonts w:ascii="Times New Roman" w:hAnsi="Times New Roman"/>
        <w:sz w:val="24"/>
      </w:rPr>
      <w:fldChar w:fldCharType="end"/>
    </w:r>
  </w:p>
  <w:p w:rsidR="00723D6E" w:rsidRDefault="00723D6E">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481" w:rsidRDefault="003A3481">
      <w:r>
        <w:separator/>
      </w:r>
    </w:p>
  </w:footnote>
  <w:footnote w:type="continuationSeparator" w:id="0">
    <w:p w:rsidR="003A3481" w:rsidRDefault="003A34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D6E" w:rsidRDefault="00723D6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23D6E" w:rsidRDefault="00723D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E277D"/>
    <w:multiLevelType w:val="hybridMultilevel"/>
    <w:tmpl w:val="AF1AF0D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1588315A"/>
    <w:multiLevelType w:val="hybridMultilevel"/>
    <w:tmpl w:val="07BE728C"/>
    <w:lvl w:ilvl="0" w:tplc="8AC4E328">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6B368D7"/>
    <w:multiLevelType w:val="hybridMultilevel"/>
    <w:tmpl w:val="BE88100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31302883"/>
    <w:multiLevelType w:val="hybridMultilevel"/>
    <w:tmpl w:val="188AEE3A"/>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5FE80367"/>
    <w:multiLevelType w:val="hybridMultilevel"/>
    <w:tmpl w:val="5F3AB40E"/>
    <w:lvl w:ilvl="0">
      <w:start w:val="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60ED3150"/>
    <w:multiLevelType w:val="hybridMultilevel"/>
    <w:tmpl w:val="AD2E50E4"/>
    <w:lvl w:ilvl="0">
      <w:start w:val="3"/>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688032B4"/>
    <w:multiLevelType w:val="hybridMultilevel"/>
    <w:tmpl w:val="3A9E3EB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71CA127D"/>
    <w:multiLevelType w:val="hybridMultilevel"/>
    <w:tmpl w:val="3DF6637A"/>
    <w:lvl w:ilvl="0" w:tplc="8AC4E328">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0"/>
  </w:num>
  <w:num w:numId="3">
    <w:abstractNumId w:val="3"/>
  </w:num>
  <w:num w:numId="4">
    <w:abstractNumId w:val="6"/>
  </w:num>
  <w:num w:numId="5">
    <w:abstractNumId w:val="5"/>
  </w:num>
  <w:num w:numId="6">
    <w:abstractNumId w:val="2"/>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DD9"/>
    <w:rsid w:val="00093DD9"/>
    <w:rsid w:val="00215295"/>
    <w:rsid w:val="0024728E"/>
    <w:rsid w:val="0036120D"/>
    <w:rsid w:val="003A3481"/>
    <w:rsid w:val="00723D6E"/>
    <w:rsid w:val="00885643"/>
    <w:rsid w:val="00C44BAE"/>
    <w:rsid w:val="00D529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szCs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szCs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bCs/>
      <w:sz w:val="24"/>
      <w:szCs w:val="24"/>
      <w:u w:val="single"/>
    </w:rPr>
  </w:style>
  <w:style w:type="paragraph" w:styleId="Heading4">
    <w:name w:val="heading 4"/>
    <w:basedOn w:val="Normal"/>
    <w:next w:val="Normal"/>
    <w:qFormat/>
    <w:pPr>
      <w:keepNext/>
      <w:tabs>
        <w:tab w:val="left" w:pos="360"/>
      </w:tabs>
      <w:outlineLvl w:val="3"/>
    </w:pPr>
    <w:rPr>
      <w:rFonts w:ascii="Times New Roman" w:hAnsi="Times New Roman"/>
      <w:b/>
      <w:bCs/>
      <w:sz w:val="24"/>
      <w:szCs w:val="24"/>
      <w:u w:val="single"/>
    </w:rPr>
  </w:style>
  <w:style w:type="paragraph" w:styleId="Heading5">
    <w:name w:val="heading 5"/>
    <w:basedOn w:val="Normal"/>
    <w:next w:val="Normal"/>
    <w:qFormat/>
    <w:pPr>
      <w:keepNext/>
      <w:jc w:val="center"/>
      <w:outlineLvl w:val="4"/>
    </w:pPr>
    <w:rPr>
      <w:rFonts w:ascii="Times New Roman" w:hAnsi="Times New Roman"/>
      <w:b/>
      <w:bCs/>
      <w:sz w:val="24"/>
      <w:szCs w:val="24"/>
    </w:rPr>
  </w:style>
  <w:style w:type="paragraph" w:styleId="Heading6">
    <w:name w:val="heading 6"/>
    <w:basedOn w:val="Normal"/>
    <w:next w:val="Normal"/>
    <w:qFormat/>
    <w:pPr>
      <w:keepNext/>
      <w:ind w:left="4320" w:firstLine="720"/>
      <w:outlineLvl w:val="5"/>
    </w:pPr>
    <w:rPr>
      <w:rFonts w:ascii="Times New Roman" w:hAnsi="Times New Roman"/>
      <w:sz w:val="24"/>
      <w:szCs w:val="24"/>
    </w:rPr>
  </w:style>
  <w:style w:type="paragraph" w:styleId="Heading7">
    <w:name w:val="heading 7"/>
    <w:basedOn w:val="Normal"/>
    <w:next w:val="Normal"/>
    <w:qFormat/>
    <w:pPr>
      <w:keepNext/>
      <w:ind w:left="1440" w:firstLine="720"/>
      <w:outlineLvl w:val="6"/>
    </w:pPr>
    <w:rPr>
      <w:rFonts w:ascii="Times New Roman" w:hAnsi="Times New Roman"/>
      <w:sz w:val="24"/>
      <w:szCs w:val="24"/>
    </w:rPr>
  </w:style>
  <w:style w:type="paragraph" w:styleId="Heading8">
    <w:name w:val="heading 8"/>
    <w:basedOn w:val="Normal"/>
    <w:next w:val="Normal"/>
    <w:qFormat/>
    <w:pPr>
      <w:keepNext/>
      <w:outlineLvl w:val="7"/>
    </w:pPr>
    <w:rPr>
      <w:rFonts w:ascii="Garamond" w:hAnsi="Garamond"/>
      <w:sz w:val="28"/>
      <w:szCs w:val="28"/>
    </w:rPr>
  </w:style>
  <w:style w:type="paragraph" w:styleId="Heading9">
    <w:name w:val="heading 9"/>
    <w:basedOn w:val="Normal"/>
    <w:next w:val="Normal"/>
    <w:qFormat/>
    <w:pPr>
      <w:keepNext/>
      <w:tabs>
        <w:tab w:val="left" w:pos="360"/>
      </w:tabs>
      <w:ind w:left="360" w:hanging="360"/>
      <w:outlineLvl w:val="8"/>
    </w:pPr>
    <w:rPr>
      <w:rFonts w:ascii="Garamond" w:hAnsi="Garamond"/>
      <w:b/>
      <w:bCs/>
      <w:sz w:val="24"/>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szCs w:val="24"/>
    </w:rPr>
  </w:style>
  <w:style w:type="paragraph" w:styleId="BodyTextIndent2">
    <w:name w:val="Body Text Indent 2"/>
    <w:basedOn w:val="Normal"/>
    <w:pPr>
      <w:ind w:left="720" w:firstLine="720"/>
    </w:pPr>
    <w:rPr>
      <w:rFonts w:ascii="Times New Roman" w:hAnsi="Times New Roman"/>
      <w:sz w:val="24"/>
      <w:szCs w:val="24"/>
    </w:rPr>
  </w:style>
  <w:style w:type="paragraph" w:styleId="Title">
    <w:name w:val="Title"/>
    <w:basedOn w:val="Normal"/>
    <w:qFormat/>
    <w:pPr>
      <w:jc w:val="center"/>
    </w:pPr>
    <w:rPr>
      <w:rFonts w:ascii="Times New Roman" w:hAnsi="Times New Roman"/>
      <w:b/>
      <w:bCs/>
      <w:sz w:val="24"/>
      <w:szCs w:val="24"/>
    </w:rPr>
  </w:style>
  <w:style w:type="paragraph" w:styleId="BodyTextIndent3">
    <w:name w:val="Body Text Indent 3"/>
    <w:basedOn w:val="Normal"/>
    <w:pPr>
      <w:ind w:left="1440" w:hanging="720"/>
    </w:pPr>
    <w:rPr>
      <w:rFonts w:ascii="Times New Roman" w:hAnsi="Times New Roman"/>
      <w:sz w:val="24"/>
      <w:szCs w:val="24"/>
    </w:rPr>
  </w:style>
  <w:style w:type="paragraph" w:styleId="BodyText">
    <w:name w:val="Body Text"/>
    <w:basedOn w:val="Normal"/>
    <w:pPr>
      <w:tabs>
        <w:tab w:val="left" w:pos="360"/>
      </w:tabs>
    </w:pPr>
    <w:rPr>
      <w:rFonts w:ascii="Times New Roman" w:hAnsi="Times New Roman"/>
      <w:sz w:val="24"/>
      <w:szCs w:val="24"/>
    </w:rPr>
  </w:style>
  <w:style w:type="paragraph" w:styleId="DocumentMap">
    <w:name w:val="Document Map"/>
    <w:basedOn w:val="Normal"/>
    <w:semiHidden/>
    <w:pPr>
      <w:shd w:val="clear" w:color="auto" w:fill="000080"/>
    </w:pPr>
    <w:rPr>
      <w:rFonts w:ascii="Tahoma" w:hAnsi="Tahoma" w:cs="Tahoma"/>
    </w:rPr>
  </w:style>
  <w:style w:type="paragraph" w:styleId="BlockText">
    <w:name w:val="Block Text"/>
    <w:basedOn w:val="Normal"/>
    <w:pPr>
      <w:tabs>
        <w:tab w:val="left" w:pos="360"/>
      </w:tabs>
      <w:ind w:left="720" w:right="720"/>
    </w:pPr>
    <w:rPr>
      <w:rFonts w:ascii="Times New Roman" w:hAnsi="Times New Roman"/>
      <w:sz w:val="24"/>
      <w:szCs w:val="24"/>
    </w:rPr>
  </w:style>
  <w:style w:type="paragraph" w:styleId="BodyText20">
    <w:name w:val="Body Text 2"/>
    <w:basedOn w:val="Normal"/>
    <w:pPr>
      <w:tabs>
        <w:tab w:val="left" w:pos="360"/>
      </w:tabs>
      <w:ind w:left="360" w:hanging="360"/>
    </w:pPr>
    <w:rPr>
      <w:rFonts w:ascii="Times New Roman" w:hAnsi="Times New Roman"/>
      <w:sz w:val="24"/>
      <w:szCs w:val="24"/>
    </w:rPr>
  </w:style>
  <w:style w:type="paragraph" w:styleId="BodyText21">
    <w:name w:val="Body Text 2"/>
    <w:basedOn w:val="Normal"/>
    <w:pPr>
      <w:ind w:left="720"/>
    </w:pPr>
    <w:rPr>
      <w:rFonts w:ascii="Times New Roman" w:hAnsi="Times New Roman"/>
      <w:sz w:val="24"/>
      <w:szCs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bCs/>
      <w:sz w:val="24"/>
      <w:szCs w:val="24"/>
    </w:rPr>
  </w:style>
  <w:style w:type="paragraph" w:styleId="Footer">
    <w:name w:val="footer"/>
    <w:basedOn w:val="Normal"/>
    <w:pPr>
      <w:tabs>
        <w:tab w:val="center" w:pos="4320"/>
        <w:tab w:val="right" w:pos="8640"/>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szCs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szCs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bCs/>
      <w:sz w:val="24"/>
      <w:szCs w:val="24"/>
      <w:u w:val="single"/>
    </w:rPr>
  </w:style>
  <w:style w:type="paragraph" w:styleId="Heading4">
    <w:name w:val="heading 4"/>
    <w:basedOn w:val="Normal"/>
    <w:next w:val="Normal"/>
    <w:qFormat/>
    <w:pPr>
      <w:keepNext/>
      <w:tabs>
        <w:tab w:val="left" w:pos="360"/>
      </w:tabs>
      <w:outlineLvl w:val="3"/>
    </w:pPr>
    <w:rPr>
      <w:rFonts w:ascii="Times New Roman" w:hAnsi="Times New Roman"/>
      <w:b/>
      <w:bCs/>
      <w:sz w:val="24"/>
      <w:szCs w:val="24"/>
      <w:u w:val="single"/>
    </w:rPr>
  </w:style>
  <w:style w:type="paragraph" w:styleId="Heading5">
    <w:name w:val="heading 5"/>
    <w:basedOn w:val="Normal"/>
    <w:next w:val="Normal"/>
    <w:qFormat/>
    <w:pPr>
      <w:keepNext/>
      <w:jc w:val="center"/>
      <w:outlineLvl w:val="4"/>
    </w:pPr>
    <w:rPr>
      <w:rFonts w:ascii="Times New Roman" w:hAnsi="Times New Roman"/>
      <w:b/>
      <w:bCs/>
      <w:sz w:val="24"/>
      <w:szCs w:val="24"/>
    </w:rPr>
  </w:style>
  <w:style w:type="paragraph" w:styleId="Heading6">
    <w:name w:val="heading 6"/>
    <w:basedOn w:val="Normal"/>
    <w:next w:val="Normal"/>
    <w:qFormat/>
    <w:pPr>
      <w:keepNext/>
      <w:ind w:left="4320" w:firstLine="720"/>
      <w:outlineLvl w:val="5"/>
    </w:pPr>
    <w:rPr>
      <w:rFonts w:ascii="Times New Roman" w:hAnsi="Times New Roman"/>
      <w:sz w:val="24"/>
      <w:szCs w:val="24"/>
    </w:rPr>
  </w:style>
  <w:style w:type="paragraph" w:styleId="Heading7">
    <w:name w:val="heading 7"/>
    <w:basedOn w:val="Normal"/>
    <w:next w:val="Normal"/>
    <w:qFormat/>
    <w:pPr>
      <w:keepNext/>
      <w:ind w:left="1440" w:firstLine="720"/>
      <w:outlineLvl w:val="6"/>
    </w:pPr>
    <w:rPr>
      <w:rFonts w:ascii="Times New Roman" w:hAnsi="Times New Roman"/>
      <w:sz w:val="24"/>
      <w:szCs w:val="24"/>
    </w:rPr>
  </w:style>
  <w:style w:type="paragraph" w:styleId="Heading8">
    <w:name w:val="heading 8"/>
    <w:basedOn w:val="Normal"/>
    <w:next w:val="Normal"/>
    <w:qFormat/>
    <w:pPr>
      <w:keepNext/>
      <w:outlineLvl w:val="7"/>
    </w:pPr>
    <w:rPr>
      <w:rFonts w:ascii="Garamond" w:hAnsi="Garamond"/>
      <w:sz w:val="28"/>
      <w:szCs w:val="28"/>
    </w:rPr>
  </w:style>
  <w:style w:type="paragraph" w:styleId="Heading9">
    <w:name w:val="heading 9"/>
    <w:basedOn w:val="Normal"/>
    <w:next w:val="Normal"/>
    <w:qFormat/>
    <w:pPr>
      <w:keepNext/>
      <w:tabs>
        <w:tab w:val="left" w:pos="360"/>
      </w:tabs>
      <w:ind w:left="360" w:hanging="360"/>
      <w:outlineLvl w:val="8"/>
    </w:pPr>
    <w:rPr>
      <w:rFonts w:ascii="Garamond" w:hAnsi="Garamond"/>
      <w:b/>
      <w:bCs/>
      <w:sz w:val="24"/>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szCs w:val="24"/>
    </w:rPr>
  </w:style>
  <w:style w:type="paragraph" w:styleId="BodyTextIndent2">
    <w:name w:val="Body Text Indent 2"/>
    <w:basedOn w:val="Normal"/>
    <w:pPr>
      <w:ind w:left="720" w:firstLine="720"/>
    </w:pPr>
    <w:rPr>
      <w:rFonts w:ascii="Times New Roman" w:hAnsi="Times New Roman"/>
      <w:sz w:val="24"/>
      <w:szCs w:val="24"/>
    </w:rPr>
  </w:style>
  <w:style w:type="paragraph" w:styleId="Title">
    <w:name w:val="Title"/>
    <w:basedOn w:val="Normal"/>
    <w:qFormat/>
    <w:pPr>
      <w:jc w:val="center"/>
    </w:pPr>
    <w:rPr>
      <w:rFonts w:ascii="Times New Roman" w:hAnsi="Times New Roman"/>
      <w:b/>
      <w:bCs/>
      <w:sz w:val="24"/>
      <w:szCs w:val="24"/>
    </w:rPr>
  </w:style>
  <w:style w:type="paragraph" w:styleId="BodyTextIndent3">
    <w:name w:val="Body Text Indent 3"/>
    <w:basedOn w:val="Normal"/>
    <w:pPr>
      <w:ind w:left="1440" w:hanging="720"/>
    </w:pPr>
    <w:rPr>
      <w:rFonts w:ascii="Times New Roman" w:hAnsi="Times New Roman"/>
      <w:sz w:val="24"/>
      <w:szCs w:val="24"/>
    </w:rPr>
  </w:style>
  <w:style w:type="paragraph" w:styleId="BodyText">
    <w:name w:val="Body Text"/>
    <w:basedOn w:val="Normal"/>
    <w:pPr>
      <w:tabs>
        <w:tab w:val="left" w:pos="360"/>
      </w:tabs>
    </w:pPr>
    <w:rPr>
      <w:rFonts w:ascii="Times New Roman" w:hAnsi="Times New Roman"/>
      <w:sz w:val="24"/>
      <w:szCs w:val="24"/>
    </w:rPr>
  </w:style>
  <w:style w:type="paragraph" w:styleId="DocumentMap">
    <w:name w:val="Document Map"/>
    <w:basedOn w:val="Normal"/>
    <w:semiHidden/>
    <w:pPr>
      <w:shd w:val="clear" w:color="auto" w:fill="000080"/>
    </w:pPr>
    <w:rPr>
      <w:rFonts w:ascii="Tahoma" w:hAnsi="Tahoma" w:cs="Tahoma"/>
    </w:rPr>
  </w:style>
  <w:style w:type="paragraph" w:styleId="BlockText">
    <w:name w:val="Block Text"/>
    <w:basedOn w:val="Normal"/>
    <w:pPr>
      <w:tabs>
        <w:tab w:val="left" w:pos="360"/>
      </w:tabs>
      <w:ind w:left="720" w:right="720"/>
    </w:pPr>
    <w:rPr>
      <w:rFonts w:ascii="Times New Roman" w:hAnsi="Times New Roman"/>
      <w:sz w:val="24"/>
      <w:szCs w:val="24"/>
    </w:rPr>
  </w:style>
  <w:style w:type="paragraph" w:styleId="BodyText20">
    <w:name w:val="Body Text 2"/>
    <w:basedOn w:val="Normal"/>
    <w:pPr>
      <w:tabs>
        <w:tab w:val="left" w:pos="360"/>
      </w:tabs>
      <w:ind w:left="360" w:hanging="360"/>
    </w:pPr>
    <w:rPr>
      <w:rFonts w:ascii="Times New Roman" w:hAnsi="Times New Roman"/>
      <w:sz w:val="24"/>
      <w:szCs w:val="24"/>
    </w:rPr>
  </w:style>
  <w:style w:type="paragraph" w:styleId="BodyText21">
    <w:name w:val="Body Text 2"/>
    <w:basedOn w:val="Normal"/>
    <w:pPr>
      <w:ind w:left="720"/>
    </w:pPr>
    <w:rPr>
      <w:rFonts w:ascii="Times New Roman" w:hAnsi="Times New Roman"/>
      <w:sz w:val="24"/>
      <w:szCs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bCs/>
      <w:sz w:val="24"/>
      <w:szCs w:val="24"/>
    </w:rPr>
  </w:style>
  <w:style w:type="paragraph" w:styleId="Footer">
    <w:name w:val="footer"/>
    <w:basedOn w:val="Normal"/>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Sample Course Outline – 30 Sessions</vt:lpstr>
    </vt:vector>
  </TitlesOfParts>
  <Company>Dartmouth College</Company>
  <LinksUpToDate>false</LinksUpToDate>
  <CharactersWithSpaces>2737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Course Outline – 30 Sessions</dc:title>
  <dc:subject/>
  <dc:creator>Wake Forest University</dc:creator>
  <cp:keywords/>
  <dc:description/>
  <cp:lastModifiedBy>ZEENAT JABBAR</cp:lastModifiedBy>
  <cp:revision>2</cp:revision>
  <cp:lastPrinted>2002-07-16T08:55:00Z</cp:lastPrinted>
  <dcterms:created xsi:type="dcterms:W3CDTF">2013-06-16T11:38:00Z</dcterms:created>
  <dcterms:modified xsi:type="dcterms:W3CDTF">2013-06-16T11:38:00Z</dcterms:modified>
</cp:coreProperties>
</file>