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713" w:rsidRDefault="00A324E9">
      <w:pPr>
        <w:tabs>
          <w:tab w:val="left" w:pos="360"/>
        </w:tabs>
        <w:jc w:val="center"/>
        <w:rPr>
          <w:rFonts w:ascii="Garamond" w:hAnsi="Garamond"/>
          <w:b/>
          <w:sz w:val="24"/>
        </w:rPr>
      </w:pPr>
      <w:bookmarkStart w:id="0" w:name="_GoBack"/>
      <w:bookmarkEnd w:id="0"/>
      <w:r>
        <w:rPr>
          <w:rFonts w:ascii="Garamond" w:hAnsi="Garamond"/>
          <w:b/>
          <w:sz w:val="24"/>
        </w:rPr>
        <w:t>LECTURE</w:t>
      </w:r>
      <w:r w:rsidR="00905713">
        <w:rPr>
          <w:rFonts w:ascii="Garamond" w:hAnsi="Garamond"/>
          <w:b/>
          <w:sz w:val="24"/>
        </w:rPr>
        <w:t xml:space="preserve"> 14</w:t>
      </w:r>
    </w:p>
    <w:p w:rsidR="00905713" w:rsidRDefault="00905713">
      <w:pPr>
        <w:tabs>
          <w:tab w:val="left" w:pos="360"/>
        </w:tabs>
        <w:jc w:val="center"/>
        <w:rPr>
          <w:rFonts w:ascii="Garamond" w:hAnsi="Garamond"/>
          <w:b/>
          <w:sz w:val="24"/>
        </w:rPr>
      </w:pPr>
      <w:r>
        <w:rPr>
          <w:rFonts w:ascii="Garamond" w:hAnsi="Garamond"/>
          <w:b/>
          <w:sz w:val="24"/>
        </w:rPr>
        <w:t xml:space="preserve">Managing Brands </w:t>
      </w:r>
      <w:proofErr w:type="gramStart"/>
      <w:r>
        <w:rPr>
          <w:rFonts w:ascii="Garamond" w:hAnsi="Garamond"/>
          <w:b/>
          <w:sz w:val="24"/>
        </w:rPr>
        <w:t>Over</w:t>
      </w:r>
      <w:proofErr w:type="gramEnd"/>
      <w:r>
        <w:rPr>
          <w:rFonts w:ascii="Garamond" w:hAnsi="Garamond"/>
          <w:b/>
          <w:sz w:val="24"/>
        </w:rPr>
        <w:t xml:space="preserve"> Market Segments</w:t>
      </w:r>
    </w:p>
    <w:p w:rsidR="00905713" w:rsidRDefault="00905713">
      <w:pPr>
        <w:tabs>
          <w:tab w:val="left" w:pos="360"/>
        </w:tabs>
        <w:rPr>
          <w:rFonts w:ascii="Garamond" w:hAnsi="Garamond"/>
          <w:sz w:val="24"/>
        </w:rPr>
      </w:pPr>
    </w:p>
    <w:p w:rsidR="00905713" w:rsidRDefault="00905713">
      <w:pPr>
        <w:tabs>
          <w:tab w:val="left" w:pos="360"/>
        </w:tabs>
        <w:rPr>
          <w:rFonts w:ascii="Garamond" w:hAnsi="Garamond"/>
          <w:sz w:val="24"/>
        </w:rPr>
      </w:pPr>
    </w:p>
    <w:p w:rsidR="00905713" w:rsidRDefault="00905713">
      <w:pPr>
        <w:pStyle w:val="Heading2"/>
        <w:rPr>
          <w:rFonts w:ascii="Garamond" w:hAnsi="Garamond"/>
          <w:u w:val="single"/>
        </w:rPr>
      </w:pPr>
      <w:r>
        <w:rPr>
          <w:rFonts w:ascii="Garamond" w:hAnsi="Garamond"/>
          <w:b/>
          <w:u w:val="single"/>
        </w:rPr>
        <w:t>Overview</w:t>
      </w:r>
    </w:p>
    <w:p w:rsidR="00A324E9" w:rsidRDefault="00A324E9">
      <w:pPr>
        <w:tabs>
          <w:tab w:val="left" w:pos="360"/>
        </w:tabs>
        <w:rPr>
          <w:rFonts w:ascii="Garamond" w:hAnsi="Garamond"/>
          <w:sz w:val="24"/>
        </w:rPr>
      </w:pPr>
    </w:p>
    <w:p w:rsidR="00905713" w:rsidRDefault="00905713">
      <w:pPr>
        <w:tabs>
          <w:tab w:val="left" w:pos="360"/>
        </w:tabs>
        <w:rPr>
          <w:rFonts w:ascii="Garamond" w:hAnsi="Garamond"/>
          <w:sz w:val="24"/>
        </w:rPr>
      </w:pPr>
      <w:r>
        <w:rPr>
          <w:rFonts w:ascii="Garamond" w:hAnsi="Garamond"/>
          <w:sz w:val="24"/>
        </w:rPr>
        <w:t xml:space="preserve">As they search for ways to achieve economies of scale, maximize growth and profit, diversify risk, and satisfy the needs and wants of increasingly mobile consumers, more and more firms are defining the marketplace in global, rather than domestic, terms. Global marketing programs are attractive because they allow economies of scale in production and distribution, result in lower marketing costs, convey expertise and credibility, communicate a consistent brand image, permit quick and efficient leverage of good ideas, and enhance the uniformity and control of marketing practices worldwide. </w:t>
      </w:r>
    </w:p>
    <w:p w:rsidR="00905713" w:rsidRDefault="00905713">
      <w:pPr>
        <w:tabs>
          <w:tab w:val="left" w:pos="360"/>
        </w:tabs>
        <w:rPr>
          <w:rFonts w:ascii="Garamond" w:hAnsi="Garamond"/>
          <w:sz w:val="24"/>
        </w:rPr>
      </w:pPr>
    </w:p>
    <w:p w:rsidR="00905713" w:rsidRDefault="00905713">
      <w:pPr>
        <w:tabs>
          <w:tab w:val="left" w:pos="360"/>
        </w:tabs>
        <w:rPr>
          <w:rFonts w:ascii="Garamond" w:hAnsi="Garamond"/>
          <w:sz w:val="24"/>
        </w:rPr>
      </w:pPr>
      <w:r>
        <w:rPr>
          <w:rFonts w:ascii="Garamond" w:hAnsi="Garamond"/>
          <w:sz w:val="24"/>
        </w:rPr>
        <w:t>Critics of standardizing marketing programs contend that they are based on “lowest common denominator” approaches that ignore differences across countries and cultures. Such differences may be related to consumer tastes and responses to marketing mix elements, product or brand life cycle stages, competitive sets, reactions of country managers, legal requirements and restrictions, and the marketing infrastructure.</w:t>
      </w:r>
    </w:p>
    <w:p w:rsidR="00905713" w:rsidRDefault="00905713">
      <w:pPr>
        <w:tabs>
          <w:tab w:val="left" w:pos="360"/>
        </w:tabs>
        <w:rPr>
          <w:rFonts w:ascii="Garamond" w:hAnsi="Garamond"/>
          <w:sz w:val="24"/>
        </w:rPr>
      </w:pPr>
    </w:p>
    <w:p w:rsidR="00905713" w:rsidRDefault="00905713">
      <w:pPr>
        <w:tabs>
          <w:tab w:val="left" w:pos="360"/>
        </w:tabs>
        <w:rPr>
          <w:rFonts w:ascii="Garamond" w:hAnsi="Garamond"/>
          <w:sz w:val="24"/>
        </w:rPr>
      </w:pPr>
      <w:r>
        <w:rPr>
          <w:rFonts w:ascii="Garamond" w:hAnsi="Garamond"/>
          <w:sz w:val="24"/>
        </w:rPr>
        <w:t xml:space="preserve">Development of a global marketing program requires that a firm decide 1) which markets are most attractive in terms of their fit with corporate objectives and marketing capabilities; 2) whether to enter a given market by exporting established brands, acquiring another company’s brands in the local market, or forming a strategic alliance with a local market firm; 3) what the balance between standardization/globalization and adaptation/localization in the marketing effort should be; and 4) whether the marketing organization should be centralized in the headquarters country, decentralized in the local market, or reflect a mix of the two. </w:t>
      </w:r>
    </w:p>
    <w:p w:rsidR="00905713" w:rsidRDefault="00905713">
      <w:pPr>
        <w:tabs>
          <w:tab w:val="left" w:pos="360"/>
        </w:tabs>
        <w:rPr>
          <w:rFonts w:ascii="Garamond" w:hAnsi="Garamond"/>
          <w:sz w:val="24"/>
        </w:rPr>
      </w:pPr>
    </w:p>
    <w:p w:rsidR="00905713" w:rsidRDefault="00905713">
      <w:pPr>
        <w:tabs>
          <w:tab w:val="left" w:pos="360"/>
        </w:tabs>
        <w:rPr>
          <w:rFonts w:ascii="Garamond" w:hAnsi="Garamond"/>
          <w:sz w:val="24"/>
        </w:rPr>
      </w:pPr>
      <w:r>
        <w:rPr>
          <w:rFonts w:ascii="Garamond" w:hAnsi="Garamond"/>
          <w:sz w:val="24"/>
        </w:rPr>
        <w:t xml:space="preserve">In order to build global customer-based brand equity, brand awareness and a positive brand image must be created in each country in which the brand is marketed. This entails balancing the degree of standardization/globalization and adaptation/localization in the choice of branding elements, design of the supporting marketing plan, and leverage of secondary brand associations. The chapter uses the concept of the “Ten Commandments of Global Branding” to provide guidelines for marketers looking to take their brands global. </w:t>
      </w:r>
    </w:p>
    <w:p w:rsidR="00905713" w:rsidRDefault="00905713">
      <w:pPr>
        <w:tabs>
          <w:tab w:val="left" w:pos="360"/>
        </w:tabs>
        <w:rPr>
          <w:rFonts w:ascii="Garamond" w:hAnsi="Garamond"/>
          <w:sz w:val="24"/>
        </w:rPr>
      </w:pPr>
    </w:p>
    <w:p w:rsidR="00905713" w:rsidRDefault="004812D4">
      <w:pPr>
        <w:tabs>
          <w:tab w:val="left" w:pos="360"/>
        </w:tabs>
        <w:rPr>
          <w:rFonts w:ascii="Garamond" w:hAnsi="Garamond"/>
          <w:sz w:val="24"/>
        </w:rPr>
      </w:pPr>
      <w:r>
        <w:rPr>
          <w:rFonts w:ascii="Garamond" w:hAnsi="Garamond"/>
          <w:sz w:val="24"/>
        </w:rPr>
        <w:t xml:space="preserve">The chapter concludes by a discussion on building brand equity across market segments. There </w:t>
      </w:r>
      <w:r w:rsidR="00905713">
        <w:rPr>
          <w:rFonts w:ascii="Garamond" w:hAnsi="Garamond"/>
          <w:sz w:val="24"/>
        </w:rPr>
        <w:t xml:space="preserve">a number of different types of market segments </w:t>
      </w:r>
      <w:proofErr w:type="gramStart"/>
      <w:r w:rsidR="00905713">
        <w:rPr>
          <w:rFonts w:ascii="Garamond" w:hAnsi="Garamond"/>
          <w:sz w:val="24"/>
        </w:rPr>
        <w:t>that firms</w:t>
      </w:r>
      <w:proofErr w:type="gramEnd"/>
      <w:r w:rsidR="00905713">
        <w:rPr>
          <w:rFonts w:ascii="Garamond" w:hAnsi="Garamond"/>
          <w:sz w:val="24"/>
        </w:rPr>
        <w:t xml:space="preserve"> can expand into. Companies have employed regional market segmentation strategies in which a larger geographic area, such as a nation, is divided into a number of smaller segments. Other segments include demographic segments, in which a market is divided on the basis of age, gender, or income; and psychographic segments, which divide a market based on consumer ideals, beliefs, or attitudes. </w:t>
      </w:r>
    </w:p>
    <w:p w:rsidR="004812D4" w:rsidRDefault="004812D4">
      <w:pPr>
        <w:tabs>
          <w:tab w:val="left" w:pos="360"/>
        </w:tabs>
        <w:rPr>
          <w:rFonts w:ascii="Garamond" w:hAnsi="Garamond"/>
          <w:sz w:val="24"/>
        </w:rPr>
      </w:pPr>
    </w:p>
    <w:p w:rsidR="004812D4" w:rsidRDefault="004812D4" w:rsidP="004812D4">
      <w:pPr>
        <w:tabs>
          <w:tab w:val="left" w:pos="360"/>
        </w:tabs>
        <w:rPr>
          <w:rFonts w:ascii="Garamond" w:hAnsi="Garamond"/>
          <w:sz w:val="24"/>
        </w:rPr>
      </w:pPr>
      <w:r>
        <w:rPr>
          <w:rFonts w:ascii="Garamond" w:hAnsi="Garamond"/>
          <w:sz w:val="24"/>
        </w:rPr>
        <w:t xml:space="preserve">Brand Focus 14.0 discusses </w:t>
      </w:r>
      <w:smartTag w:uri="urn:schemas-microsoft-com:office:smarttags" w:element="place">
        <w:smartTag w:uri="urn:schemas-microsoft-com:office:smarttags" w:element="country-region">
          <w:r>
            <w:rPr>
              <w:rFonts w:ascii="Garamond" w:hAnsi="Garamond"/>
              <w:sz w:val="24"/>
            </w:rPr>
            <w:t>China</w:t>
          </w:r>
        </w:smartTag>
      </w:smartTag>
      <w:r>
        <w:rPr>
          <w:rFonts w:ascii="Garamond" w:hAnsi="Garamond"/>
          <w:sz w:val="24"/>
        </w:rPr>
        <w:t xml:space="preserve">’s global brand ambitions, starting with growing local businesses, developing interest in international markets, developing local leaders, and finally going global. </w:t>
      </w:r>
    </w:p>
    <w:p w:rsidR="00905713" w:rsidRDefault="004812D4" w:rsidP="00A324E9">
      <w:pPr>
        <w:pStyle w:val="Heading4"/>
        <w:rPr>
          <w:rFonts w:ascii="Garamond" w:hAnsi="Garamond"/>
        </w:rPr>
      </w:pPr>
      <w:r>
        <w:rPr>
          <w:rFonts w:ascii="Garamond" w:hAnsi="Garamond"/>
        </w:rPr>
        <w:br w:type="page"/>
      </w:r>
      <w:r w:rsidR="00905713">
        <w:rPr>
          <w:rFonts w:ascii="Garamond" w:hAnsi="Garamond"/>
          <w:b w:val="0"/>
        </w:rPr>
        <w:lastRenderedPageBreak/>
        <w:t>Key take-away points</w:t>
      </w:r>
    </w:p>
    <w:p w:rsidR="00905713" w:rsidRDefault="00905713">
      <w:pPr>
        <w:tabs>
          <w:tab w:val="left" w:pos="360"/>
        </w:tabs>
        <w:spacing w:before="120"/>
        <w:ind w:left="360" w:hanging="360"/>
        <w:rPr>
          <w:rFonts w:ascii="Garamond" w:hAnsi="Garamond"/>
          <w:sz w:val="24"/>
        </w:rPr>
      </w:pPr>
      <w:r>
        <w:rPr>
          <w:rFonts w:ascii="Garamond" w:hAnsi="Garamond"/>
          <w:sz w:val="24"/>
        </w:rPr>
        <w:t>1.</w:t>
      </w:r>
      <w:r>
        <w:rPr>
          <w:rFonts w:ascii="Garamond" w:hAnsi="Garamond"/>
          <w:sz w:val="24"/>
        </w:rPr>
        <w:tab/>
        <w:t>Global marketing programs provide a number of advantages, including economies of scale, lower marketing costs, increased credibility, consistent brand image, and the ability to establish uniformity and control of marketing practices worldwide</w:t>
      </w:r>
    </w:p>
    <w:p w:rsidR="00905713" w:rsidRDefault="00905713">
      <w:pPr>
        <w:tabs>
          <w:tab w:val="left" w:pos="360"/>
        </w:tabs>
        <w:spacing w:before="120"/>
        <w:ind w:left="360" w:hanging="360"/>
        <w:rPr>
          <w:rFonts w:ascii="Garamond" w:hAnsi="Garamond"/>
          <w:sz w:val="24"/>
        </w:rPr>
      </w:pPr>
      <w:r>
        <w:rPr>
          <w:rFonts w:ascii="Garamond" w:hAnsi="Garamond"/>
          <w:sz w:val="24"/>
        </w:rPr>
        <w:t>2.</w:t>
      </w:r>
      <w:r>
        <w:rPr>
          <w:rFonts w:ascii="Garamond" w:hAnsi="Garamond"/>
          <w:sz w:val="24"/>
        </w:rPr>
        <w:tab/>
        <w:t>The increasing mobility of consumers and reach of media allows – and even dictates – the development of global branding strategies.</w:t>
      </w:r>
    </w:p>
    <w:p w:rsidR="00905713" w:rsidRDefault="00905713">
      <w:pPr>
        <w:tabs>
          <w:tab w:val="left" w:pos="360"/>
        </w:tabs>
        <w:spacing w:before="120"/>
        <w:ind w:left="360" w:hanging="360"/>
        <w:rPr>
          <w:rFonts w:ascii="Garamond" w:hAnsi="Garamond"/>
          <w:sz w:val="24"/>
        </w:rPr>
      </w:pPr>
      <w:r>
        <w:rPr>
          <w:rFonts w:ascii="Garamond" w:hAnsi="Garamond"/>
          <w:sz w:val="24"/>
        </w:rPr>
        <w:t>3.</w:t>
      </w:r>
      <w:r>
        <w:rPr>
          <w:rFonts w:ascii="Garamond" w:hAnsi="Garamond"/>
          <w:sz w:val="24"/>
        </w:rPr>
        <w:tab/>
        <w:t xml:space="preserve">Building global customer-based brand equity requires creating brand awareness and a positive brand image in each country in which the brand is marketed. </w:t>
      </w:r>
    </w:p>
    <w:p w:rsidR="00905713" w:rsidRDefault="00905713">
      <w:pPr>
        <w:tabs>
          <w:tab w:val="left" w:pos="360"/>
        </w:tabs>
        <w:spacing w:before="120"/>
        <w:ind w:left="360" w:hanging="360"/>
        <w:rPr>
          <w:rFonts w:ascii="Garamond" w:hAnsi="Garamond"/>
          <w:sz w:val="24"/>
        </w:rPr>
      </w:pPr>
      <w:r>
        <w:rPr>
          <w:rFonts w:ascii="Garamond" w:hAnsi="Garamond"/>
          <w:sz w:val="24"/>
        </w:rPr>
        <w:t>4.</w:t>
      </w:r>
      <w:r>
        <w:rPr>
          <w:rFonts w:ascii="Garamond" w:hAnsi="Garamond"/>
          <w:sz w:val="24"/>
        </w:rPr>
        <w:tab/>
        <w:t>Marketers often plan globally but implement regionally.</w:t>
      </w:r>
    </w:p>
    <w:p w:rsidR="00905713" w:rsidRDefault="00905713">
      <w:pPr>
        <w:spacing w:line="240" w:lineRule="atLeast"/>
        <w:jc w:val="center"/>
        <w:rPr>
          <w:rFonts w:ascii="Garamond" w:hAnsi="Garamond"/>
          <w:b/>
          <w:i/>
          <w:caps/>
          <w:sz w:val="24"/>
        </w:rPr>
      </w:pPr>
      <w:r>
        <w:rPr>
          <w:rFonts w:ascii="Times New Roman" w:hAnsi="Times New Roman"/>
          <w:sz w:val="24"/>
        </w:rPr>
        <w:br w:type="page"/>
      </w:r>
      <w:r>
        <w:rPr>
          <w:rFonts w:ascii="Garamond" w:hAnsi="Garamond"/>
          <w:b/>
          <w:i/>
          <w:caps/>
          <w:sz w:val="24"/>
        </w:rPr>
        <w:lastRenderedPageBreak/>
        <w:t>branding brief 14-7</w:t>
      </w:r>
    </w:p>
    <w:p w:rsidR="00905713" w:rsidRDefault="00905713">
      <w:pPr>
        <w:spacing w:line="240" w:lineRule="atLeast"/>
        <w:jc w:val="center"/>
        <w:rPr>
          <w:rFonts w:ascii="Garamond" w:hAnsi="Garamond"/>
          <w:sz w:val="24"/>
        </w:rPr>
      </w:pPr>
      <w:r>
        <w:rPr>
          <w:rFonts w:ascii="Garamond" w:hAnsi="Garamond"/>
          <w:b/>
          <w:i/>
          <w:caps/>
          <w:sz w:val="24"/>
        </w:rPr>
        <w:t>parker pen's global misadventures</w:t>
      </w:r>
      <w:r>
        <w:rPr>
          <w:rStyle w:val="FootnoteReference"/>
          <w:rFonts w:ascii="Garamond" w:hAnsi="Garamond"/>
          <w:sz w:val="24"/>
        </w:rPr>
        <w:footnoteReference w:id="1"/>
      </w:r>
    </w:p>
    <w:p w:rsidR="00905713" w:rsidRDefault="00905713">
      <w:pPr>
        <w:spacing w:line="240" w:lineRule="atLeast"/>
        <w:rPr>
          <w:rFonts w:ascii="Garamond" w:hAnsi="Garamond"/>
          <w:sz w:val="24"/>
        </w:rPr>
      </w:pPr>
    </w:p>
    <w:p w:rsidR="00905713" w:rsidRDefault="00905713">
      <w:pPr>
        <w:spacing w:line="240" w:lineRule="atLeast"/>
        <w:rPr>
          <w:rFonts w:ascii="Garamond" w:hAnsi="Garamond"/>
          <w:sz w:val="24"/>
        </w:rPr>
      </w:pPr>
    </w:p>
    <w:p w:rsidR="00905713" w:rsidRDefault="00905713">
      <w:pPr>
        <w:spacing w:line="240" w:lineRule="atLeast"/>
        <w:rPr>
          <w:rFonts w:ascii="Garamond" w:hAnsi="Garamond"/>
          <w:sz w:val="24"/>
        </w:rPr>
      </w:pPr>
      <w:r>
        <w:rPr>
          <w:rFonts w:ascii="Garamond" w:hAnsi="Garamond"/>
          <w:sz w:val="24"/>
        </w:rPr>
        <w:t xml:space="preserve">One of the most spectacular failures of global marketing was Parker Pen's misguided foray into standardizing their global marketing program in 1984. Parker was one of the world's best known brands. It sold writing instruments in 154 countries and decided to bring virtually every one of them under the "global marketing" umbrella. Its plan was to centralize and standardize all aspects of the marketing program — packaging, pricing, promotional materials, and especially advertising. This "one look, one voice" approach to global marketing was to be orchestrated completely from the company's </w:t>
      </w:r>
      <w:smartTag w:uri="urn:schemas-microsoft-com:office:smarttags" w:element="country-region">
        <w:r>
          <w:rPr>
            <w:rFonts w:ascii="Garamond" w:hAnsi="Garamond"/>
            <w:sz w:val="24"/>
          </w:rPr>
          <w:t>U.S.</w:t>
        </w:r>
      </w:smartTag>
      <w:r>
        <w:rPr>
          <w:rFonts w:ascii="Garamond" w:hAnsi="Garamond"/>
          <w:sz w:val="24"/>
        </w:rPr>
        <w:t xml:space="preserve"> headquarters in </w:t>
      </w:r>
      <w:proofErr w:type="spellStart"/>
      <w:smartTag w:uri="urn:schemas-microsoft-com:office:smarttags" w:element="place">
        <w:smartTag w:uri="urn:schemas-microsoft-com:office:smarttags" w:element="City">
          <w:r>
            <w:rPr>
              <w:rFonts w:ascii="Garamond" w:hAnsi="Garamond"/>
              <w:sz w:val="24"/>
            </w:rPr>
            <w:t>Janeville</w:t>
          </w:r>
        </w:smartTag>
        <w:proofErr w:type="spellEnd"/>
        <w:r>
          <w:rPr>
            <w:rFonts w:ascii="Garamond" w:hAnsi="Garamond"/>
            <w:sz w:val="24"/>
          </w:rPr>
          <w:t xml:space="preserve">, </w:t>
        </w:r>
        <w:smartTag w:uri="urn:schemas-microsoft-com:office:smarttags" w:element="State">
          <w:r>
            <w:rPr>
              <w:rFonts w:ascii="Garamond" w:hAnsi="Garamond"/>
              <w:sz w:val="24"/>
            </w:rPr>
            <w:t>Wisconsin</w:t>
          </w:r>
        </w:smartTag>
      </w:smartTag>
      <w:r>
        <w:rPr>
          <w:rFonts w:ascii="Garamond" w:hAnsi="Garamond"/>
          <w:sz w:val="24"/>
        </w:rPr>
        <w:t>.</w:t>
      </w:r>
    </w:p>
    <w:p w:rsidR="00905713" w:rsidRDefault="00905713">
      <w:pPr>
        <w:spacing w:line="240" w:lineRule="atLeast"/>
        <w:rPr>
          <w:rFonts w:ascii="Garamond" w:hAnsi="Garamond"/>
          <w:sz w:val="24"/>
        </w:rPr>
      </w:pPr>
    </w:p>
    <w:p w:rsidR="00905713" w:rsidRDefault="00905713">
      <w:pPr>
        <w:spacing w:line="240" w:lineRule="atLeast"/>
        <w:rPr>
          <w:rFonts w:ascii="Garamond" w:hAnsi="Garamond"/>
          <w:sz w:val="24"/>
        </w:rPr>
      </w:pPr>
      <w:r>
        <w:rPr>
          <w:rFonts w:ascii="Garamond" w:hAnsi="Garamond"/>
          <w:sz w:val="24"/>
        </w:rPr>
        <w:t xml:space="preserve">Parker's plans were a result of increasing dissatisfaction with the brand's performance in the 1960s and 1970s. Aggressive marketing of inexpensive Japanese disposable pens and direct competition from A.T. Cross' upscale pens had eaten into the sales of Parker's high priced pens. Production facilities were out of date, and new product development was stagnant. Marketing was largely left to local operations </w:t>
      </w:r>
      <w:proofErr w:type="gramStart"/>
      <w:r>
        <w:rPr>
          <w:rFonts w:ascii="Garamond" w:hAnsi="Garamond"/>
          <w:sz w:val="24"/>
        </w:rPr>
        <w:t>who</w:t>
      </w:r>
      <w:proofErr w:type="gramEnd"/>
      <w:r>
        <w:rPr>
          <w:rFonts w:ascii="Garamond" w:hAnsi="Garamond"/>
          <w:sz w:val="24"/>
        </w:rPr>
        <w:t xml:space="preserve"> often introduced their own products and worked with their own ad agency. New management in 1982 moved quickly to revive the fortunes of the brand, trimming the payroll, chopping the product line to 100, consolidating and overhauling manufacturing operations to make it state-of-the-art. </w:t>
      </w:r>
    </w:p>
    <w:p w:rsidR="00905713" w:rsidRDefault="00905713">
      <w:pPr>
        <w:spacing w:line="240" w:lineRule="atLeast"/>
        <w:rPr>
          <w:rFonts w:ascii="Garamond" w:hAnsi="Garamond"/>
          <w:sz w:val="24"/>
        </w:rPr>
      </w:pPr>
    </w:p>
    <w:p w:rsidR="00905713" w:rsidRDefault="00905713">
      <w:pPr>
        <w:pStyle w:val="BodyText"/>
        <w:tabs>
          <w:tab w:val="clear" w:pos="360"/>
        </w:tabs>
        <w:spacing w:line="240" w:lineRule="atLeast"/>
        <w:rPr>
          <w:rFonts w:ascii="Garamond" w:hAnsi="Garamond"/>
        </w:rPr>
      </w:pPr>
      <w:r>
        <w:rPr>
          <w:rFonts w:ascii="Garamond" w:hAnsi="Garamond"/>
        </w:rPr>
        <w:t xml:space="preserve">As part of the new strategy, management also set in motion plans to create a standardized global marketing plan. They assigned the worldwide account to Ogilvy &amp; Mather. In the process, they fired long-time agencies such as Lowe Howard-Spink in </w:t>
      </w:r>
      <w:smartTag w:uri="urn:schemas-microsoft-com:office:smarttags" w:element="City">
        <w:r>
          <w:rPr>
            <w:rFonts w:ascii="Garamond" w:hAnsi="Garamond"/>
          </w:rPr>
          <w:t>London</w:t>
        </w:r>
      </w:smartTag>
      <w:r>
        <w:rPr>
          <w:rFonts w:ascii="Garamond" w:hAnsi="Garamond"/>
        </w:rPr>
        <w:t xml:space="preserve"> whose almost legendary </w:t>
      </w:r>
      <w:smartTag w:uri="urn:schemas-microsoft-com:office:smarttags" w:element="place">
        <w:smartTag w:uri="urn:schemas-microsoft-com:office:smarttags" w:element="country-region">
          <w:r>
            <w:rPr>
              <w:rFonts w:ascii="Garamond" w:hAnsi="Garamond"/>
            </w:rPr>
            <w:t>U.K.</w:t>
          </w:r>
        </w:smartTag>
      </w:smartTag>
      <w:r>
        <w:rPr>
          <w:rFonts w:ascii="Garamond" w:hAnsi="Garamond"/>
        </w:rPr>
        <w:t xml:space="preserve"> advertising campaigns helped to make it the most profitable market for Parker. Also, because 65% of the business consisted of pens sold under $3, Parker management decided to attack the low end of the market with pens such as the roller-ball Vector which sold for $2.98. Parker's intention was to participate in every viable segment of the writing instrument business. Product merchandising was changed to employ new, uniform graphics with a striking black motif.</w:t>
      </w:r>
    </w:p>
    <w:p w:rsidR="00905713" w:rsidRDefault="00905713">
      <w:pPr>
        <w:spacing w:line="240" w:lineRule="atLeast"/>
        <w:rPr>
          <w:rFonts w:ascii="Garamond" w:hAnsi="Garamond"/>
          <w:sz w:val="24"/>
        </w:rPr>
      </w:pPr>
    </w:p>
    <w:p w:rsidR="00905713" w:rsidRDefault="00905713">
      <w:pPr>
        <w:spacing w:line="240" w:lineRule="atLeast"/>
        <w:rPr>
          <w:rFonts w:ascii="Garamond" w:hAnsi="Garamond"/>
          <w:sz w:val="24"/>
        </w:rPr>
      </w:pPr>
      <w:r>
        <w:rPr>
          <w:rFonts w:ascii="Garamond" w:hAnsi="Garamond"/>
          <w:sz w:val="24"/>
        </w:rPr>
        <w:t xml:space="preserve">Problems emerged almost from the start. As demand for the new roller-ball and other products was picking up, the new automated manufacturing lines were not working, resulting in higher than expected labor costs and defective products. To make matters worse, production managers at the plant, bristling at the new marketing orientation, were uncooperative. Perhaps the biggest problem occurred with advertising. The new management decreed that "Advertising for Parker pens [no matter model or mode] will be based on a </w:t>
      </w:r>
      <w:r>
        <w:rPr>
          <w:rFonts w:ascii="Garamond" w:hAnsi="Garamond"/>
          <w:i/>
          <w:sz w:val="24"/>
        </w:rPr>
        <w:t>common</w:t>
      </w:r>
      <w:r>
        <w:rPr>
          <w:rFonts w:ascii="Garamond" w:hAnsi="Garamond"/>
          <w:sz w:val="24"/>
        </w:rPr>
        <w:t xml:space="preserve"> creative strategy and </w:t>
      </w:r>
      <w:proofErr w:type="gramStart"/>
      <w:r>
        <w:rPr>
          <w:rFonts w:ascii="Garamond" w:hAnsi="Garamond"/>
          <w:sz w:val="24"/>
        </w:rPr>
        <w:t>positioning ..</w:t>
      </w:r>
      <w:proofErr w:type="gramEnd"/>
      <w:r>
        <w:rPr>
          <w:rFonts w:ascii="Garamond" w:hAnsi="Garamond"/>
          <w:sz w:val="24"/>
        </w:rPr>
        <w:t xml:space="preserve"> The worldwide advertising theme, 'Make your mark with a Parker,' has been adopted </w:t>
      </w:r>
      <w:proofErr w:type="gramStart"/>
      <w:r>
        <w:rPr>
          <w:rFonts w:ascii="Garamond" w:hAnsi="Garamond"/>
          <w:sz w:val="24"/>
        </w:rPr>
        <w:t>...[</w:t>
      </w:r>
      <w:proofErr w:type="gramEnd"/>
      <w:r>
        <w:rPr>
          <w:rFonts w:ascii="Garamond" w:hAnsi="Garamond"/>
          <w:sz w:val="24"/>
        </w:rPr>
        <w:t xml:space="preserve">It] will utilize similar graphic layout and photography. It will utilize an agreed-upon typeface. It will utilize the approved Parker logo/graphic design. It will be adapted from centrally supplied materials ..."  Although resistant to the notion of standardization Ogilvy &amp; Mather finally complied, creating a </w:t>
      </w:r>
      <w:r>
        <w:rPr>
          <w:rFonts w:ascii="Garamond" w:hAnsi="Garamond"/>
          <w:sz w:val="24"/>
        </w:rPr>
        <w:lastRenderedPageBreak/>
        <w:t>common ad for all countries that contained long copy, horizontal layout, illustrations in precisely the same place, the Parker logo at the bottom, and the "Make Your Mark with a Parker" tag line at the bottom right.</w:t>
      </w:r>
    </w:p>
    <w:p w:rsidR="00905713" w:rsidRDefault="00905713">
      <w:pPr>
        <w:spacing w:line="240" w:lineRule="atLeast"/>
        <w:rPr>
          <w:rFonts w:ascii="Garamond" w:hAnsi="Garamond"/>
          <w:sz w:val="24"/>
        </w:rPr>
      </w:pPr>
    </w:p>
    <w:p w:rsidR="00905713" w:rsidRDefault="00905713">
      <w:pPr>
        <w:rPr>
          <w:rFonts w:ascii="Garamond" w:hAnsi="Garamond"/>
          <w:sz w:val="24"/>
        </w:rPr>
      </w:pPr>
      <w:r>
        <w:rPr>
          <w:rFonts w:ascii="Garamond" w:hAnsi="Garamond"/>
          <w:sz w:val="24"/>
        </w:rPr>
        <w:t xml:space="preserve">As one management critic observed, "It was the lowest-common-denominator advertising. It tried to say something to everybody and it didn't say anything to anybody."  Consumers ignored the campaign, fueling the frustration of country marketing managers. Another critic pointed out that the new strategy of producing low cost pens for the world was wrong because it ran against Parker tradition and image. Moreover, when the dollar appreciated against other currencies, the products became priced out of the market. With sales and profits plummeting, the new management team was banished within a year, and the authority of country managers was reinstated. Parker's writing instruments business was sold soon thereafter to an investment group for $100 million. Gillette bought Parker in 1992, and added to its portfolio of stationary products that included writing instrument brands Paper Mate and Waterman. After the profits in the stationary division plummeted in the mid-1990s, Gillette sold the division to Newell Rubbermaid in 2000. </w:t>
      </w:r>
    </w:p>
    <w:p w:rsidR="00905713" w:rsidRDefault="00905713">
      <w:pPr>
        <w:spacing w:line="240" w:lineRule="atLeast"/>
        <w:rPr>
          <w:rFonts w:ascii="Garamond" w:hAnsi="Garamond"/>
          <w:sz w:val="24"/>
        </w:rPr>
      </w:pPr>
    </w:p>
    <w:p w:rsidR="00905713" w:rsidRDefault="00905713">
      <w:pPr>
        <w:spacing w:line="240" w:lineRule="atLeast"/>
        <w:rPr>
          <w:rFonts w:ascii="Garamond" w:hAnsi="Garamond"/>
          <w:sz w:val="24"/>
        </w:rPr>
      </w:pPr>
      <w:r>
        <w:rPr>
          <w:rFonts w:ascii="Garamond" w:hAnsi="Garamond"/>
          <w:sz w:val="24"/>
        </w:rPr>
        <w:t xml:space="preserve">Parker Pen's global misadventure is in stark contrast to the global achievements of own of their American-based competitors, A.T. Cross. Cross pens and pencils are now sold in more than 150 countries. </w:t>
      </w:r>
      <w:proofErr w:type="gramStart"/>
      <w:r>
        <w:rPr>
          <w:rFonts w:ascii="Garamond" w:hAnsi="Garamond"/>
          <w:sz w:val="24"/>
        </w:rPr>
        <w:t>The cherished possession of many business executives, Cross started exporting their product in 1965 by using foreign distributors.</w:t>
      </w:r>
      <w:proofErr w:type="gramEnd"/>
      <w:r>
        <w:rPr>
          <w:rFonts w:ascii="Garamond" w:hAnsi="Garamond"/>
          <w:sz w:val="24"/>
        </w:rPr>
        <w:t xml:space="preserve"> Once they felt they knew "the lay of the land," they established their own full-time sales force and began to tackle bigger markets. Their first beachhead in Europe was </w:t>
      </w:r>
      <w:smartTag w:uri="urn:schemas-microsoft-com:office:smarttags" w:element="place">
        <w:smartTag w:uri="urn:schemas-microsoft-com:office:smarttags" w:element="country-region">
          <w:r>
            <w:rPr>
              <w:rFonts w:ascii="Garamond" w:hAnsi="Garamond"/>
              <w:sz w:val="24"/>
            </w:rPr>
            <w:t>Ireland</w:t>
          </w:r>
        </w:smartTag>
      </w:smartTag>
      <w:r>
        <w:rPr>
          <w:rFonts w:ascii="Garamond" w:hAnsi="Garamond"/>
          <w:sz w:val="24"/>
        </w:rPr>
        <w:t xml:space="preserve"> where they also spent double their previous year's sales in advertising to build awareness. Eventually, the brand became the country's top seller. Similar large investments in </w:t>
      </w:r>
      <w:smartTag w:uri="urn:schemas-microsoft-com:office:smarttags" w:element="place">
        <w:smartTag w:uri="urn:schemas-microsoft-com:office:smarttags" w:element="country-region">
          <w:r>
            <w:rPr>
              <w:rFonts w:ascii="Garamond" w:hAnsi="Garamond"/>
              <w:sz w:val="24"/>
            </w:rPr>
            <w:t>West Germany</w:t>
          </w:r>
        </w:smartTag>
      </w:smartTag>
      <w:r>
        <w:rPr>
          <w:rFonts w:ascii="Garamond" w:hAnsi="Garamond"/>
          <w:sz w:val="24"/>
        </w:rPr>
        <w:t xml:space="preserve"> also paid big dividends. </w:t>
      </w:r>
    </w:p>
    <w:p w:rsidR="00905713" w:rsidRDefault="00905713">
      <w:pPr>
        <w:spacing w:line="240" w:lineRule="atLeast"/>
        <w:rPr>
          <w:rFonts w:ascii="Garamond" w:hAnsi="Garamond"/>
          <w:sz w:val="24"/>
        </w:rPr>
      </w:pPr>
    </w:p>
    <w:p w:rsidR="00905713" w:rsidRDefault="00905713">
      <w:pPr>
        <w:spacing w:line="240" w:lineRule="atLeast"/>
        <w:rPr>
          <w:rFonts w:ascii="Garamond" w:hAnsi="Garamond"/>
          <w:sz w:val="24"/>
        </w:rPr>
      </w:pPr>
      <w:r>
        <w:rPr>
          <w:rFonts w:ascii="Garamond" w:hAnsi="Garamond"/>
          <w:sz w:val="24"/>
        </w:rPr>
        <w:t xml:space="preserve">Moving to the next stage of their strategy, Cross decided to tailor the product, as necessary, for overseas markets. A team of engineers were sent around the world to better understand what each country might prefer. They learned, for example, that in </w:t>
      </w:r>
      <w:smartTag w:uri="urn:schemas-microsoft-com:office:smarttags" w:element="place">
        <w:smartTag w:uri="urn:schemas-microsoft-com:office:smarttags" w:element="country-region">
          <w:r>
            <w:rPr>
              <w:rFonts w:ascii="Garamond" w:hAnsi="Garamond"/>
              <w:sz w:val="24"/>
            </w:rPr>
            <w:t>Thailand</w:t>
          </w:r>
        </w:smartTag>
      </w:smartTag>
      <w:r>
        <w:rPr>
          <w:rFonts w:ascii="Garamond" w:hAnsi="Garamond"/>
          <w:sz w:val="24"/>
        </w:rPr>
        <w:t xml:space="preserve">, the product did not write as evenly as it should have. Investigating the problem, Cross engineers discovered that </w:t>
      </w:r>
      <w:smartTag w:uri="urn:schemas-microsoft-com:office:smarttags" w:element="place">
        <w:smartTag w:uri="urn:schemas-microsoft-com:office:smarttags" w:element="country-region">
          <w:r>
            <w:rPr>
              <w:rFonts w:ascii="Garamond" w:hAnsi="Garamond"/>
              <w:sz w:val="24"/>
            </w:rPr>
            <w:t>Thailand</w:t>
          </w:r>
        </w:smartTag>
      </w:smartTag>
      <w:r>
        <w:rPr>
          <w:rFonts w:ascii="Garamond" w:hAnsi="Garamond"/>
          <w:sz w:val="24"/>
        </w:rPr>
        <w:t xml:space="preserve">'s hot, humid climate was causing the ink to absorb too much moisture, throwing off the flow. As a solution, they came up with a new refill design for all pens sold in the tropics, and </w:t>
      </w:r>
      <w:smartTag w:uri="urn:schemas-microsoft-com:office:smarttags" w:element="place">
        <w:r>
          <w:rPr>
            <w:rFonts w:ascii="Garamond" w:hAnsi="Garamond"/>
            <w:sz w:val="24"/>
          </w:rPr>
          <w:t>Far East</w:t>
        </w:r>
      </w:smartTag>
      <w:r>
        <w:rPr>
          <w:rFonts w:ascii="Garamond" w:hAnsi="Garamond"/>
          <w:sz w:val="24"/>
        </w:rPr>
        <w:t xml:space="preserve"> sales went up. Cross even decided to develop products purely for foreign markets, introducing fountain pens in many European countries where such products are seen as status symbols. This attention to consumers and product design and quality (e.g., Cross offers a lifetime guarantee) has resulted in a 50% share of the </w:t>
      </w:r>
      <w:smartTag w:uri="urn:schemas-microsoft-com:office:smarttags" w:element="place">
        <w:smartTag w:uri="urn:schemas-microsoft-com:office:smarttags" w:element="country-region">
          <w:r>
            <w:rPr>
              <w:rFonts w:ascii="Garamond" w:hAnsi="Garamond"/>
              <w:sz w:val="24"/>
            </w:rPr>
            <w:t>U.S.</w:t>
          </w:r>
        </w:smartTag>
      </w:smartTag>
      <w:r>
        <w:rPr>
          <w:rFonts w:ascii="Garamond" w:hAnsi="Garamond"/>
          <w:sz w:val="24"/>
        </w:rPr>
        <w:t xml:space="preserve"> market for upper-end writing instruments and a leadership position in dozens of countries.</w:t>
      </w:r>
    </w:p>
    <w:p w:rsidR="00905713" w:rsidRDefault="00905713">
      <w:pPr>
        <w:rPr>
          <w:rFonts w:ascii="Garamond" w:hAnsi="Garamond"/>
        </w:rPr>
      </w:pPr>
    </w:p>
    <w:p w:rsidR="00905713" w:rsidRDefault="00905713">
      <w:pPr>
        <w:spacing w:line="240" w:lineRule="atLeast"/>
        <w:jc w:val="center"/>
        <w:rPr>
          <w:rFonts w:ascii="Garamond" w:hAnsi="Garamond"/>
          <w:sz w:val="24"/>
        </w:rPr>
      </w:pPr>
    </w:p>
    <w:p w:rsidR="00905713" w:rsidRDefault="00905713">
      <w:pPr>
        <w:spacing w:line="240" w:lineRule="atLeast"/>
        <w:jc w:val="center"/>
        <w:rPr>
          <w:rFonts w:ascii="Garamond" w:hAnsi="Garamond"/>
          <w:b/>
          <w:i/>
          <w:caps/>
          <w:sz w:val="24"/>
        </w:rPr>
      </w:pPr>
      <w:r>
        <w:rPr>
          <w:rFonts w:ascii="Garamond" w:hAnsi="Garamond"/>
          <w:sz w:val="24"/>
        </w:rPr>
        <w:br w:type="page"/>
      </w:r>
      <w:r>
        <w:rPr>
          <w:rFonts w:ascii="Garamond" w:hAnsi="Garamond"/>
          <w:b/>
          <w:i/>
          <w:caps/>
          <w:sz w:val="24"/>
        </w:rPr>
        <w:lastRenderedPageBreak/>
        <w:t>branding brief 14-8</w:t>
      </w:r>
    </w:p>
    <w:p w:rsidR="00905713" w:rsidRDefault="00905713">
      <w:pPr>
        <w:spacing w:line="240" w:lineRule="atLeast"/>
        <w:jc w:val="center"/>
        <w:rPr>
          <w:rFonts w:ascii="Garamond" w:hAnsi="Garamond"/>
          <w:sz w:val="24"/>
        </w:rPr>
      </w:pPr>
      <w:r>
        <w:rPr>
          <w:rFonts w:ascii="Garamond" w:hAnsi="Garamond"/>
          <w:b/>
          <w:i/>
          <w:caps/>
          <w:sz w:val="24"/>
        </w:rPr>
        <w:t>cereal partners worldwide</w:t>
      </w:r>
      <w:r>
        <w:rPr>
          <w:rStyle w:val="FootnoteReference"/>
          <w:rFonts w:ascii="Garamond" w:hAnsi="Garamond"/>
          <w:sz w:val="24"/>
        </w:rPr>
        <w:footnoteReference w:id="2"/>
      </w:r>
    </w:p>
    <w:p w:rsidR="00905713" w:rsidRDefault="00905713">
      <w:pPr>
        <w:spacing w:line="240" w:lineRule="atLeast"/>
        <w:rPr>
          <w:rFonts w:ascii="Garamond" w:hAnsi="Garamond"/>
          <w:sz w:val="24"/>
        </w:rPr>
      </w:pPr>
    </w:p>
    <w:p w:rsidR="00905713" w:rsidRDefault="00905713">
      <w:pPr>
        <w:spacing w:line="240" w:lineRule="atLeast"/>
        <w:rPr>
          <w:rFonts w:ascii="Garamond" w:hAnsi="Garamond"/>
          <w:sz w:val="24"/>
        </w:rPr>
      </w:pPr>
    </w:p>
    <w:p w:rsidR="00905713" w:rsidRDefault="00905713">
      <w:pPr>
        <w:spacing w:line="240" w:lineRule="atLeast"/>
        <w:rPr>
          <w:rFonts w:ascii="Garamond" w:hAnsi="Garamond"/>
          <w:sz w:val="24"/>
        </w:rPr>
      </w:pPr>
      <w:r>
        <w:rPr>
          <w:rFonts w:ascii="Garamond" w:hAnsi="Garamond"/>
          <w:sz w:val="24"/>
        </w:rPr>
        <w:t xml:space="preserve">For years, while Kellogg's made some of the character's behind their cereals — Toucan Sam, Tony the Tiger, and Snap, Crackle, and Pop — household names in Europe, General Mills chose to ignore overseas market to concentrate on domestic concerns. In 1992, General Mills decided that their well-known cereal brands such as Cheerios, Wheaties, Golden Grahams, </w:t>
      </w:r>
      <w:proofErr w:type="spellStart"/>
      <w:r>
        <w:rPr>
          <w:rFonts w:ascii="Garamond" w:hAnsi="Garamond"/>
          <w:sz w:val="24"/>
        </w:rPr>
        <w:t>Trix</w:t>
      </w:r>
      <w:proofErr w:type="spellEnd"/>
      <w:r>
        <w:rPr>
          <w:rFonts w:ascii="Garamond" w:hAnsi="Garamond"/>
          <w:sz w:val="24"/>
        </w:rPr>
        <w:t xml:space="preserve">, and Lucky Charms needed to grow their sales, at least in part, by looking at new markets. </w:t>
      </w:r>
    </w:p>
    <w:p w:rsidR="00905713" w:rsidRDefault="00905713">
      <w:pPr>
        <w:spacing w:line="240" w:lineRule="atLeast"/>
        <w:rPr>
          <w:rFonts w:ascii="Garamond" w:hAnsi="Garamond"/>
          <w:sz w:val="24"/>
        </w:rPr>
      </w:pPr>
    </w:p>
    <w:p w:rsidR="00905713" w:rsidRDefault="00905713">
      <w:pPr>
        <w:spacing w:line="240" w:lineRule="atLeast"/>
        <w:rPr>
          <w:rFonts w:ascii="Garamond" w:hAnsi="Garamond"/>
          <w:sz w:val="24"/>
        </w:rPr>
      </w:pPr>
      <w:r>
        <w:rPr>
          <w:rFonts w:ascii="Garamond" w:hAnsi="Garamond"/>
          <w:sz w:val="24"/>
        </w:rPr>
        <w:t xml:space="preserve">International markets offered a golden opportunity for growth. Europeans on average eat just three pounds of cereal a year per capita, compared with ten pounds in the U.S. Starting from a small base, sales volume in some markets, such as Spain and Portugal, have been growing at 20% to 50% a year, vs. 5% in the U.S. </w:t>
      </w:r>
      <w:proofErr w:type="gramStart"/>
      <w:r>
        <w:rPr>
          <w:rFonts w:ascii="Garamond" w:hAnsi="Garamond"/>
          <w:sz w:val="24"/>
        </w:rPr>
        <w:t>The challenge?</w:t>
      </w:r>
      <w:proofErr w:type="gramEnd"/>
      <w:r>
        <w:rPr>
          <w:rFonts w:ascii="Garamond" w:hAnsi="Garamond"/>
          <w:sz w:val="24"/>
        </w:rPr>
        <w:t xml:space="preserve">  </w:t>
      </w:r>
      <w:proofErr w:type="gramStart"/>
      <w:r>
        <w:rPr>
          <w:rFonts w:ascii="Garamond" w:hAnsi="Garamond"/>
          <w:sz w:val="24"/>
        </w:rPr>
        <w:t>How to overcome Kellogg's 70-year head start and strong presence in the $3.5 billion European cereal market.</w:t>
      </w:r>
      <w:proofErr w:type="gramEnd"/>
      <w:r>
        <w:rPr>
          <w:rFonts w:ascii="Garamond" w:hAnsi="Garamond"/>
          <w:sz w:val="24"/>
        </w:rPr>
        <w:t xml:space="preserve"> Deciding that the few available takeover candidates were over-priced and that building factories and distribution channels from scratch would have taken too long and be too risky, General Mills' solution was to adopt an unusual entry strategy for a packaged goods company — a joint venture.</w:t>
      </w:r>
    </w:p>
    <w:p w:rsidR="00905713" w:rsidRDefault="00905713">
      <w:pPr>
        <w:spacing w:line="240" w:lineRule="atLeast"/>
        <w:rPr>
          <w:rFonts w:ascii="Garamond" w:hAnsi="Garamond"/>
          <w:sz w:val="24"/>
        </w:rPr>
      </w:pPr>
    </w:p>
    <w:p w:rsidR="00905713" w:rsidRDefault="00905713">
      <w:pPr>
        <w:spacing w:line="240" w:lineRule="atLeast"/>
        <w:rPr>
          <w:rFonts w:ascii="Garamond" w:hAnsi="Garamond"/>
          <w:sz w:val="24"/>
        </w:rPr>
      </w:pPr>
      <w:r>
        <w:rPr>
          <w:rFonts w:ascii="Garamond" w:hAnsi="Garamond"/>
          <w:sz w:val="24"/>
        </w:rPr>
        <w:t xml:space="preserve">Cereal Partners Worldwide (CPW) is a joint venture between General Mills and Nestle. Nestle, the world's largest food company, possessed much brand equity and a strong distribution system but lacked any cereal brands. As part of the agreement, General Mills supplied Nestle with its product formulations, technology, and cereal-making expertise. Nestle, using three of their existing cereal plants in Europe would then produce some of the 30 or so cereal brands that General Mills made in </w:t>
      </w:r>
      <w:smartTag w:uri="urn:schemas-microsoft-com:office:smarttags" w:element="place">
        <w:r>
          <w:rPr>
            <w:rFonts w:ascii="Garamond" w:hAnsi="Garamond"/>
            <w:sz w:val="24"/>
          </w:rPr>
          <w:t>North America</w:t>
        </w:r>
      </w:smartTag>
      <w:r>
        <w:rPr>
          <w:rFonts w:ascii="Garamond" w:hAnsi="Garamond"/>
          <w:sz w:val="24"/>
        </w:rPr>
        <w:t xml:space="preserve">. Nestle's corporate name would then appear across the entire product line with the General Mills or Nestle brand used to identify individual items. In 1990, the venture acquired the cereals business from Ranks </w:t>
      </w:r>
      <w:proofErr w:type="spellStart"/>
      <w:r>
        <w:rPr>
          <w:rFonts w:ascii="Garamond" w:hAnsi="Garamond"/>
          <w:sz w:val="24"/>
        </w:rPr>
        <w:t>Hovis</w:t>
      </w:r>
      <w:proofErr w:type="spellEnd"/>
      <w:r>
        <w:rPr>
          <w:rFonts w:ascii="Garamond" w:hAnsi="Garamond"/>
          <w:sz w:val="24"/>
        </w:rPr>
        <w:t xml:space="preserve"> McDougall PLC for roughly $165 million. With brands such as </w:t>
      </w:r>
      <w:proofErr w:type="spellStart"/>
      <w:r>
        <w:rPr>
          <w:rFonts w:ascii="Garamond" w:hAnsi="Garamond"/>
          <w:sz w:val="24"/>
        </w:rPr>
        <w:t>Shreddies</w:t>
      </w:r>
      <w:proofErr w:type="spellEnd"/>
      <w:r>
        <w:rPr>
          <w:rFonts w:ascii="Garamond" w:hAnsi="Garamond"/>
          <w:sz w:val="24"/>
        </w:rPr>
        <w:t xml:space="preserve"> and Shredded </w:t>
      </w:r>
      <w:proofErr w:type="spellStart"/>
      <w:r>
        <w:rPr>
          <w:rFonts w:ascii="Garamond" w:hAnsi="Garamond"/>
          <w:sz w:val="24"/>
        </w:rPr>
        <w:t>Wheats</w:t>
      </w:r>
      <w:proofErr w:type="spellEnd"/>
      <w:r>
        <w:rPr>
          <w:rFonts w:ascii="Garamond" w:hAnsi="Garamond"/>
          <w:sz w:val="24"/>
        </w:rPr>
        <w:t xml:space="preserve">, they obtained an instant 15% market share in the </w:t>
      </w:r>
      <w:smartTag w:uri="urn:schemas-microsoft-com:office:smarttags" w:element="place">
        <w:smartTag w:uri="urn:schemas-microsoft-com:office:smarttags" w:element="country-region">
          <w:r>
            <w:rPr>
              <w:rFonts w:ascii="Garamond" w:hAnsi="Garamond"/>
              <w:sz w:val="24"/>
            </w:rPr>
            <w:t>U.K.</w:t>
          </w:r>
        </w:smartTag>
      </w:smartTag>
      <w:r>
        <w:rPr>
          <w:rFonts w:ascii="Garamond" w:hAnsi="Garamond"/>
          <w:sz w:val="24"/>
        </w:rPr>
        <w:t xml:space="preserve"> General Mills set aside most of Nestle's weaker brands to roll out their familiar American standbys while adding the Nestle trademark to the packages. They also directed a complete makeover of Nestle's </w:t>
      </w:r>
      <w:proofErr w:type="spellStart"/>
      <w:r>
        <w:rPr>
          <w:rFonts w:ascii="Garamond" w:hAnsi="Garamond"/>
          <w:sz w:val="24"/>
        </w:rPr>
        <w:t>Chocapic</w:t>
      </w:r>
      <w:proofErr w:type="spellEnd"/>
      <w:r>
        <w:rPr>
          <w:rFonts w:ascii="Garamond" w:hAnsi="Garamond"/>
          <w:sz w:val="24"/>
        </w:rPr>
        <w:t xml:space="preserve"> cereal. By 1999, the joint venture was producing $1 billion in sales and had been extended into more than 60 markets that total 75 percent of cereal consumption outside of </w:t>
      </w:r>
      <w:smartTag w:uri="urn:schemas-microsoft-com:office:smarttags" w:element="place">
        <w:r>
          <w:rPr>
            <w:rFonts w:ascii="Garamond" w:hAnsi="Garamond"/>
            <w:sz w:val="24"/>
          </w:rPr>
          <w:t>North America</w:t>
        </w:r>
      </w:smartTag>
      <w:r>
        <w:rPr>
          <w:rFonts w:ascii="Garamond" w:hAnsi="Garamond"/>
          <w:sz w:val="24"/>
        </w:rPr>
        <w:t>.</w:t>
      </w:r>
    </w:p>
    <w:p w:rsidR="00905713" w:rsidRDefault="00905713">
      <w:pPr>
        <w:spacing w:line="240" w:lineRule="atLeast"/>
        <w:rPr>
          <w:rFonts w:ascii="Garamond" w:hAnsi="Garamond"/>
          <w:sz w:val="24"/>
        </w:rPr>
      </w:pPr>
    </w:p>
    <w:p w:rsidR="00905713" w:rsidRDefault="00905713">
      <w:pPr>
        <w:pStyle w:val="BodyText2"/>
        <w:spacing w:line="240" w:lineRule="atLeast"/>
      </w:pPr>
      <w:r>
        <w:t xml:space="preserve">In any brand alliance, there are risks involved. It is rare that partnerships are equal. One partner may split off, and with the knowledge gained from the other, become an even stronger competitor. General Mills felt that the benefits outweighed the costs, and even chose to enter into another European joint venture in 1992 with </w:t>
      </w:r>
      <w:proofErr w:type="spellStart"/>
      <w:r>
        <w:t>PespiCo</w:t>
      </w:r>
      <w:proofErr w:type="spellEnd"/>
      <w:r>
        <w:t xml:space="preserve">. Snack Ventures Europe started with revenues of around $641 million, split 60% PepsiCo and 40% General Mills. General Mills' rationale again was to combine strengths with another consumer goods giant. In this case, General Mills was good at making products that were </w:t>
      </w:r>
      <w:r>
        <w:lastRenderedPageBreak/>
        <w:t xml:space="preserve">extruded into distinct shapes (e.g., Bugles snacks) while PepsiCo dominated the snack business. Moreover, General Mills was stronger in Northern Europe while PepsiCo was stronger in </w:t>
      </w:r>
      <w:smartTag w:uri="urn:schemas-microsoft-com:office:smarttags" w:element="place">
        <w:r>
          <w:t>Southern Europe</w:t>
        </w:r>
      </w:smartTag>
      <w:r>
        <w:t>.</w:t>
      </w:r>
    </w:p>
    <w:p w:rsidR="00905713" w:rsidRDefault="00905713">
      <w:pPr>
        <w:tabs>
          <w:tab w:val="left" w:pos="360"/>
        </w:tabs>
        <w:rPr>
          <w:rFonts w:ascii="Times New Roman" w:hAnsi="Times New Roman"/>
          <w:sz w:val="24"/>
        </w:rPr>
      </w:pPr>
    </w:p>
    <w:sectPr w:rsidR="00905713" w:rsidSect="00082B14">
      <w:headerReference w:type="even" r:id="rId8"/>
      <w:footerReference w:type="even" r:id="rId9"/>
      <w:footerReference w:type="default" r:id="rId10"/>
      <w:pgSz w:w="12240" w:h="15840"/>
      <w:pgMar w:top="1440" w:right="1800" w:bottom="1440" w:left="1800" w:header="720" w:footer="720" w:gutter="0"/>
      <w:pgNumType w:start="7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6448" w:rsidRDefault="00BA6448">
      <w:r>
        <w:separator/>
      </w:r>
    </w:p>
  </w:endnote>
  <w:endnote w:type="continuationSeparator" w:id="0">
    <w:p w:rsidR="00BA6448" w:rsidRDefault="00BA6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Times">
    <w:panose1 w:val="02020603050405020304"/>
    <w:charset w:val="00"/>
    <w:family w:val="roman"/>
    <w:notTrueType/>
    <w:pitch w:val="variable"/>
    <w:sig w:usb0="00000003" w:usb1="00000000" w:usb2="00000000" w:usb3="00000000" w:csb0="00000001" w:csb1="00000000"/>
  </w:font>
  <w:font w:name="Roman 10cpi">
    <w:panose1 w:val="00000000000000000000"/>
    <w:charset w:val="00"/>
    <w:family w:val="moder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2D4" w:rsidRDefault="004812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812D4" w:rsidRDefault="004812D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2D4" w:rsidRDefault="004812D4">
    <w:pPr>
      <w:pStyle w:val="Footer"/>
      <w:framePr w:wrap="around" w:vAnchor="text" w:hAnchor="margin" w:xAlign="center" w:y="1"/>
      <w:rPr>
        <w:rStyle w:val="PageNumber"/>
        <w:rFonts w:ascii="Times New Roman" w:hAnsi="Times New Roman"/>
        <w:sz w:val="24"/>
      </w:rPr>
    </w:pPr>
    <w:r>
      <w:rPr>
        <w:rStyle w:val="PageNumber"/>
        <w:rFonts w:ascii="Times New Roman" w:hAnsi="Times New Roman"/>
        <w:sz w:val="24"/>
      </w:rPr>
      <w:fldChar w:fldCharType="begin"/>
    </w:r>
    <w:r>
      <w:rPr>
        <w:rStyle w:val="PageNumber"/>
        <w:rFonts w:ascii="Times New Roman" w:hAnsi="Times New Roman"/>
        <w:sz w:val="24"/>
      </w:rPr>
      <w:instrText xml:space="preserve">PAGE  </w:instrText>
    </w:r>
    <w:r>
      <w:rPr>
        <w:rStyle w:val="PageNumber"/>
        <w:rFonts w:ascii="Times New Roman" w:hAnsi="Times New Roman"/>
        <w:sz w:val="24"/>
      </w:rPr>
      <w:fldChar w:fldCharType="separate"/>
    </w:r>
    <w:r w:rsidR="00A324E9">
      <w:rPr>
        <w:rStyle w:val="PageNumber"/>
        <w:rFonts w:ascii="Times New Roman" w:hAnsi="Times New Roman"/>
        <w:noProof/>
        <w:sz w:val="24"/>
      </w:rPr>
      <w:t>72</w:t>
    </w:r>
    <w:r>
      <w:rPr>
        <w:rStyle w:val="PageNumber"/>
        <w:rFonts w:ascii="Times New Roman" w:hAnsi="Times New Roman"/>
        <w:sz w:val="24"/>
      </w:rPr>
      <w:fldChar w:fldCharType="end"/>
    </w:r>
  </w:p>
  <w:p w:rsidR="004812D4" w:rsidRDefault="004812D4">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6448" w:rsidRDefault="00BA6448">
      <w:r>
        <w:separator/>
      </w:r>
    </w:p>
  </w:footnote>
  <w:footnote w:type="continuationSeparator" w:id="0">
    <w:p w:rsidR="00BA6448" w:rsidRDefault="00BA6448">
      <w:r>
        <w:continuationSeparator/>
      </w:r>
    </w:p>
  </w:footnote>
  <w:footnote w:id="1">
    <w:p w:rsidR="004812D4" w:rsidRDefault="004812D4">
      <w:pPr>
        <w:pStyle w:val="endnotetext"/>
        <w:rPr>
          <w:rFonts w:ascii="Garamond" w:hAnsi="Garamond"/>
        </w:rPr>
      </w:pPr>
      <w:r>
        <w:rPr>
          <w:rStyle w:val="FootnoteReference"/>
          <w:rFonts w:ascii="Garamond" w:hAnsi="Garamond"/>
        </w:rPr>
        <w:footnoteRef/>
      </w:r>
      <w:r>
        <w:rPr>
          <w:rFonts w:ascii="Garamond" w:hAnsi="Garamond"/>
        </w:rPr>
        <w:t xml:space="preserve"> This section is based on two excellent articles: Joseph M. </w:t>
      </w:r>
      <w:proofErr w:type="spellStart"/>
      <w:r>
        <w:rPr>
          <w:rFonts w:ascii="Garamond" w:hAnsi="Garamond"/>
        </w:rPr>
        <w:t>Winski</w:t>
      </w:r>
      <w:proofErr w:type="spellEnd"/>
      <w:r>
        <w:rPr>
          <w:rFonts w:ascii="Garamond" w:hAnsi="Garamond"/>
        </w:rPr>
        <w:t xml:space="preserve"> and Laurel Wentz, "Parker Pen: What Went Wrong?," </w:t>
      </w:r>
      <w:r>
        <w:rPr>
          <w:rFonts w:ascii="Garamond" w:hAnsi="Garamond"/>
          <w:u w:val="single"/>
        </w:rPr>
        <w:t>Advertising Age</w:t>
      </w:r>
      <w:r>
        <w:rPr>
          <w:rFonts w:ascii="Garamond" w:hAnsi="Garamond"/>
        </w:rPr>
        <w:t xml:space="preserve">, June 2, 1986, p. 1 and Mark </w:t>
      </w:r>
      <w:proofErr w:type="spellStart"/>
      <w:r>
        <w:rPr>
          <w:rFonts w:ascii="Garamond" w:hAnsi="Garamond"/>
        </w:rPr>
        <w:t>Patinkin</w:t>
      </w:r>
      <w:proofErr w:type="spellEnd"/>
      <w:r>
        <w:rPr>
          <w:rFonts w:ascii="Garamond" w:hAnsi="Garamond"/>
        </w:rPr>
        <w:t xml:space="preserve">, "Cross Pen Succeeds by Doing Its Homework," Scripps Howard News, with an excerpt from Ira </w:t>
      </w:r>
      <w:proofErr w:type="spellStart"/>
      <w:r>
        <w:rPr>
          <w:rFonts w:ascii="Garamond" w:hAnsi="Garamond"/>
        </w:rPr>
        <w:t>Magaziner's</w:t>
      </w:r>
      <w:proofErr w:type="spellEnd"/>
      <w:r>
        <w:rPr>
          <w:rFonts w:ascii="Garamond" w:hAnsi="Garamond"/>
        </w:rPr>
        <w:t xml:space="preserve"> </w:t>
      </w:r>
      <w:r>
        <w:rPr>
          <w:rFonts w:ascii="Garamond" w:hAnsi="Garamond"/>
          <w:u w:val="single"/>
        </w:rPr>
        <w:t>The Silent War</w:t>
      </w:r>
      <w:r>
        <w:rPr>
          <w:rFonts w:ascii="Garamond" w:hAnsi="Garamond"/>
        </w:rPr>
        <w:t xml:space="preserve">, published by Random House. See also Chris </w:t>
      </w:r>
      <w:proofErr w:type="spellStart"/>
      <w:r>
        <w:rPr>
          <w:rFonts w:ascii="Garamond" w:hAnsi="Garamond"/>
        </w:rPr>
        <w:t>Reidy</w:t>
      </w:r>
      <w:proofErr w:type="spellEnd"/>
      <w:r>
        <w:rPr>
          <w:rFonts w:ascii="Garamond" w:hAnsi="Garamond"/>
        </w:rPr>
        <w:t xml:space="preserve">. “Gillette Sells Its Stationary Line to Newell.” </w:t>
      </w:r>
      <w:smartTag w:uri="urn:schemas-microsoft-com:office:smarttags" w:element="place">
        <w:smartTag w:uri="urn:schemas-microsoft-com:office:smarttags" w:element="City">
          <w:r>
            <w:rPr>
              <w:rFonts w:ascii="Garamond" w:hAnsi="Garamond"/>
              <w:i/>
            </w:rPr>
            <w:t>Boston</w:t>
          </w:r>
        </w:smartTag>
      </w:smartTag>
      <w:r>
        <w:rPr>
          <w:rFonts w:ascii="Garamond" w:hAnsi="Garamond"/>
          <w:i/>
        </w:rPr>
        <w:t xml:space="preserve"> Globe</w:t>
      </w:r>
      <w:r>
        <w:rPr>
          <w:rFonts w:ascii="Garamond" w:hAnsi="Garamond"/>
        </w:rPr>
        <w:t xml:space="preserve">, </w:t>
      </w:r>
      <w:smartTag w:uri="urn:schemas-microsoft-com:office:smarttags" w:element="date">
        <w:smartTagPr>
          <w:attr w:name="Year" w:val="2000"/>
          <w:attr w:name="Day" w:val="23"/>
          <w:attr w:name="Month" w:val="8"/>
        </w:smartTagPr>
        <w:r>
          <w:rPr>
            <w:rFonts w:ascii="Garamond" w:hAnsi="Garamond"/>
          </w:rPr>
          <w:t>August 23, 2000</w:t>
        </w:r>
      </w:smartTag>
    </w:p>
  </w:footnote>
  <w:footnote w:id="2">
    <w:p w:rsidR="004812D4" w:rsidRDefault="004812D4">
      <w:pPr>
        <w:pStyle w:val="endnotetext"/>
        <w:rPr>
          <w:rFonts w:ascii="Garamond" w:hAnsi="Garamond"/>
        </w:rPr>
      </w:pPr>
      <w:r>
        <w:rPr>
          <w:rStyle w:val="FootnoteReference"/>
          <w:rFonts w:ascii="Garamond" w:hAnsi="Garamond"/>
        </w:rPr>
        <w:footnoteRef/>
      </w:r>
      <w:r>
        <w:rPr>
          <w:rFonts w:ascii="Garamond" w:hAnsi="Garamond"/>
        </w:rPr>
        <w:t xml:space="preserve"> Adapted from Lois </w:t>
      </w:r>
      <w:proofErr w:type="spellStart"/>
      <w:r>
        <w:rPr>
          <w:rFonts w:ascii="Garamond" w:hAnsi="Garamond"/>
        </w:rPr>
        <w:t>Therrien</w:t>
      </w:r>
      <w:proofErr w:type="spellEnd"/>
      <w:r>
        <w:rPr>
          <w:rFonts w:ascii="Garamond" w:hAnsi="Garamond"/>
        </w:rPr>
        <w:t xml:space="preserve">, "Cafe Au </w:t>
      </w:r>
      <w:proofErr w:type="spellStart"/>
      <w:r>
        <w:rPr>
          <w:rFonts w:ascii="Garamond" w:hAnsi="Garamond"/>
        </w:rPr>
        <w:t>Lait</w:t>
      </w:r>
      <w:proofErr w:type="spellEnd"/>
      <w:r>
        <w:rPr>
          <w:rFonts w:ascii="Garamond" w:hAnsi="Garamond"/>
        </w:rPr>
        <w:t xml:space="preserve">, A Croissant — And </w:t>
      </w:r>
      <w:proofErr w:type="spellStart"/>
      <w:r>
        <w:rPr>
          <w:rFonts w:ascii="Garamond" w:hAnsi="Garamond"/>
        </w:rPr>
        <w:t>Trix</w:t>
      </w:r>
      <w:proofErr w:type="spellEnd"/>
      <w:r>
        <w:rPr>
          <w:rFonts w:ascii="Garamond" w:hAnsi="Garamond"/>
        </w:rPr>
        <w:t xml:space="preserve">," </w:t>
      </w:r>
      <w:r>
        <w:rPr>
          <w:rFonts w:ascii="Garamond" w:hAnsi="Garamond"/>
          <w:u w:val="single"/>
        </w:rPr>
        <w:t>Business Week</w:t>
      </w:r>
      <w:r>
        <w:rPr>
          <w:rFonts w:ascii="Garamond" w:hAnsi="Garamond"/>
        </w:rPr>
        <w:t xml:space="preserve">, </w:t>
      </w:r>
      <w:smartTag w:uri="urn:schemas-microsoft-com:office:smarttags" w:element="date">
        <w:smartTagPr>
          <w:attr w:name="Year" w:val="1992"/>
          <w:attr w:name="Day" w:val="24"/>
          <w:attr w:name="Month" w:val="8"/>
        </w:smartTagPr>
        <w:r>
          <w:rPr>
            <w:rFonts w:ascii="Garamond" w:hAnsi="Garamond"/>
          </w:rPr>
          <w:t>August 24, 1992</w:t>
        </w:r>
      </w:smartTag>
      <w:r>
        <w:rPr>
          <w:rFonts w:ascii="Garamond" w:hAnsi="Garamond"/>
        </w:rPr>
        <w:t xml:space="preserve">, pp. 50-51 and Richard Gibson, "General Mills Would Like to Be Champion of Breakfasts in </w:t>
      </w:r>
      <w:smartTag w:uri="urn:schemas-microsoft-com:office:smarttags" w:element="place">
        <w:r>
          <w:rPr>
            <w:rFonts w:ascii="Garamond" w:hAnsi="Garamond"/>
          </w:rPr>
          <w:t>Europe</w:t>
        </w:r>
      </w:smartTag>
      <w:r>
        <w:rPr>
          <w:rFonts w:ascii="Garamond" w:hAnsi="Garamond"/>
        </w:rPr>
        <w:t xml:space="preserve">," </w:t>
      </w:r>
      <w:r>
        <w:rPr>
          <w:rFonts w:ascii="Garamond" w:hAnsi="Garamond"/>
          <w:u w:val="single"/>
        </w:rPr>
        <w:t>Wall Street Journal</w:t>
      </w:r>
      <w:r>
        <w:rPr>
          <w:rFonts w:ascii="Garamond" w:hAnsi="Garamond"/>
        </w:rPr>
        <w:t xml:space="preserve">, </w:t>
      </w:r>
      <w:smartTag w:uri="urn:schemas-microsoft-com:office:smarttags" w:element="date">
        <w:smartTagPr>
          <w:attr w:name="Year" w:val="1989"/>
          <w:attr w:name="Day" w:val="1"/>
          <w:attr w:name="Month" w:val="12"/>
        </w:smartTagPr>
        <w:r>
          <w:rPr>
            <w:rFonts w:ascii="Garamond" w:hAnsi="Garamond"/>
          </w:rPr>
          <w:t>December 1, 1989</w:t>
        </w:r>
      </w:smartTag>
      <w:r>
        <w:rPr>
          <w:rFonts w:ascii="Garamond" w:hAnsi="Garamond"/>
        </w:rPr>
        <w:t>, p. 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2D4" w:rsidRDefault="004812D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812D4" w:rsidRDefault="004812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E277D"/>
    <w:multiLevelType w:val="hybridMultilevel"/>
    <w:tmpl w:val="AF1AF0D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26B368D7"/>
    <w:multiLevelType w:val="hybridMultilevel"/>
    <w:tmpl w:val="BE88100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31302883"/>
    <w:multiLevelType w:val="hybridMultilevel"/>
    <w:tmpl w:val="188AEE3A"/>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nsid w:val="5FE80367"/>
    <w:multiLevelType w:val="hybridMultilevel"/>
    <w:tmpl w:val="5F3AB40E"/>
    <w:lvl w:ilvl="0">
      <w:start w:val="3"/>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60ED3150"/>
    <w:multiLevelType w:val="hybridMultilevel"/>
    <w:tmpl w:val="AD2E50E4"/>
    <w:lvl w:ilvl="0">
      <w:start w:val="3"/>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688032B4"/>
    <w:multiLevelType w:val="hybridMultilevel"/>
    <w:tmpl w:val="3A9E3EB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A1E"/>
    <w:rsid w:val="00082B14"/>
    <w:rsid w:val="004812D4"/>
    <w:rsid w:val="0056043A"/>
    <w:rsid w:val="00594D5F"/>
    <w:rsid w:val="006E1467"/>
    <w:rsid w:val="007441D8"/>
    <w:rsid w:val="008A6815"/>
    <w:rsid w:val="00905713"/>
    <w:rsid w:val="009B0A1E"/>
    <w:rsid w:val="00A324E9"/>
    <w:rsid w:val="00BA6448"/>
    <w:rsid w:val="00D202B6"/>
    <w:rsid w:val="00F27D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Roman 10cpi" w:hAnsi="Roman 10cpi"/>
      <w:lang w:val="en-US" w:eastAsia="en-US"/>
    </w:rPr>
  </w:style>
  <w:style w:type="paragraph" w:styleId="Heading1">
    <w:name w:val="heading 1"/>
    <w:basedOn w:val="Normal"/>
    <w:next w:val="Normal"/>
    <w:qFormat/>
    <w:pPr>
      <w:keepNext/>
      <w:tabs>
        <w:tab w:val="left" w:pos="360"/>
      </w:tabs>
      <w:outlineLvl w:val="0"/>
    </w:pPr>
    <w:rPr>
      <w:rFonts w:ascii="Times New Roman" w:hAnsi="Times New Roman"/>
      <w:sz w:val="24"/>
      <w:szCs w:val="24"/>
      <w:u w:val="single"/>
    </w:rPr>
  </w:style>
  <w:style w:type="paragraph" w:styleId="Heading2">
    <w:name w:val="heading 2"/>
    <w:basedOn w:val="Normal"/>
    <w:next w:val="Normal"/>
    <w:qFormat/>
    <w:pPr>
      <w:keepNext/>
      <w:tabs>
        <w:tab w:val="left" w:pos="360"/>
      </w:tabs>
      <w:outlineLvl w:val="1"/>
    </w:pPr>
    <w:rPr>
      <w:rFonts w:ascii="Times New Roman" w:hAnsi="Times New Roman"/>
      <w:sz w:val="24"/>
      <w:szCs w:val="24"/>
    </w:rPr>
  </w:style>
  <w:style w:type="paragraph" w:styleId="Heading3">
    <w:name w:val="heading 3"/>
    <w:basedOn w:val="Normal"/>
    <w:next w:val="Normal"/>
    <w:qFormat/>
    <w:pPr>
      <w:keepNext/>
      <w:tabs>
        <w:tab w:val="left" w:pos="360"/>
      </w:tabs>
      <w:ind w:left="720" w:right="720"/>
      <w:outlineLvl w:val="2"/>
    </w:pPr>
    <w:rPr>
      <w:rFonts w:ascii="Times New Roman" w:hAnsi="Times New Roman"/>
      <w:b/>
      <w:bCs/>
      <w:sz w:val="24"/>
      <w:szCs w:val="24"/>
      <w:u w:val="single"/>
    </w:rPr>
  </w:style>
  <w:style w:type="paragraph" w:styleId="Heading4">
    <w:name w:val="heading 4"/>
    <w:basedOn w:val="Normal"/>
    <w:next w:val="Normal"/>
    <w:qFormat/>
    <w:pPr>
      <w:keepNext/>
      <w:tabs>
        <w:tab w:val="left" w:pos="360"/>
      </w:tabs>
      <w:outlineLvl w:val="3"/>
    </w:pPr>
    <w:rPr>
      <w:rFonts w:ascii="Times New Roman" w:hAnsi="Times New Roman"/>
      <w:b/>
      <w:bCs/>
      <w:sz w:val="24"/>
      <w:szCs w:val="24"/>
      <w:u w:val="single"/>
    </w:rPr>
  </w:style>
  <w:style w:type="paragraph" w:styleId="Heading5">
    <w:name w:val="heading 5"/>
    <w:basedOn w:val="Normal"/>
    <w:next w:val="Normal"/>
    <w:qFormat/>
    <w:pPr>
      <w:keepNext/>
      <w:jc w:val="center"/>
      <w:outlineLvl w:val="4"/>
    </w:pPr>
    <w:rPr>
      <w:rFonts w:ascii="Times New Roman" w:hAnsi="Times New Roman"/>
      <w:b/>
      <w:bCs/>
      <w:sz w:val="24"/>
      <w:szCs w:val="24"/>
    </w:rPr>
  </w:style>
  <w:style w:type="paragraph" w:styleId="Heading6">
    <w:name w:val="heading 6"/>
    <w:basedOn w:val="Normal"/>
    <w:next w:val="Normal"/>
    <w:qFormat/>
    <w:pPr>
      <w:keepNext/>
      <w:ind w:left="4320" w:firstLine="720"/>
      <w:outlineLvl w:val="5"/>
    </w:pPr>
    <w:rPr>
      <w:rFonts w:ascii="Times New Roman" w:hAnsi="Times New Roman"/>
      <w:sz w:val="24"/>
      <w:szCs w:val="24"/>
    </w:rPr>
  </w:style>
  <w:style w:type="paragraph" w:styleId="Heading7">
    <w:name w:val="heading 7"/>
    <w:basedOn w:val="Normal"/>
    <w:next w:val="Normal"/>
    <w:qFormat/>
    <w:pPr>
      <w:keepNext/>
      <w:ind w:left="1440" w:firstLine="720"/>
      <w:outlineLvl w:val="6"/>
    </w:pPr>
    <w:rPr>
      <w:rFonts w:ascii="Times New Roman" w:hAnsi="Times New Roman"/>
      <w:sz w:val="24"/>
      <w:szCs w:val="24"/>
    </w:rPr>
  </w:style>
  <w:style w:type="paragraph" w:styleId="Heading8">
    <w:name w:val="heading 8"/>
    <w:basedOn w:val="Normal"/>
    <w:next w:val="Normal"/>
    <w:qFormat/>
    <w:pPr>
      <w:keepNext/>
      <w:outlineLvl w:val="7"/>
    </w:pPr>
    <w:rPr>
      <w:rFonts w:ascii="Garamond" w:hAnsi="Garamond"/>
      <w:sz w:val="28"/>
      <w:szCs w:val="28"/>
    </w:rPr>
  </w:style>
  <w:style w:type="paragraph" w:styleId="Heading9">
    <w:name w:val="heading 9"/>
    <w:basedOn w:val="Normal"/>
    <w:next w:val="Normal"/>
    <w:qFormat/>
    <w:pPr>
      <w:keepNext/>
      <w:tabs>
        <w:tab w:val="left" w:pos="360"/>
      </w:tabs>
      <w:ind w:left="360" w:hanging="360"/>
      <w:outlineLvl w:val="8"/>
    </w:pPr>
    <w:rPr>
      <w:rFonts w:ascii="Garamond" w:hAnsi="Garamond"/>
      <w:b/>
      <w:bCs/>
      <w:sz w:val="24"/>
      <w:szCs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tabs>
        <w:tab w:val="left" w:pos="360"/>
      </w:tabs>
      <w:ind w:left="360" w:hanging="360"/>
    </w:pPr>
    <w:rPr>
      <w:rFonts w:ascii="Garamond" w:hAnsi="Garamond"/>
      <w:sz w:val="24"/>
      <w:szCs w:val="24"/>
    </w:rPr>
  </w:style>
  <w:style w:type="paragraph" w:styleId="BodyTextIndent2">
    <w:name w:val="Body Text Indent 2"/>
    <w:basedOn w:val="Normal"/>
    <w:pPr>
      <w:ind w:left="720" w:firstLine="720"/>
    </w:pPr>
    <w:rPr>
      <w:rFonts w:ascii="Times New Roman" w:hAnsi="Times New Roman"/>
      <w:sz w:val="24"/>
      <w:szCs w:val="24"/>
    </w:rPr>
  </w:style>
  <w:style w:type="paragraph" w:styleId="Title">
    <w:name w:val="Title"/>
    <w:basedOn w:val="Normal"/>
    <w:qFormat/>
    <w:pPr>
      <w:jc w:val="center"/>
    </w:pPr>
    <w:rPr>
      <w:rFonts w:ascii="Times New Roman" w:hAnsi="Times New Roman"/>
      <w:b/>
      <w:bCs/>
      <w:sz w:val="24"/>
      <w:szCs w:val="24"/>
    </w:rPr>
  </w:style>
  <w:style w:type="paragraph" w:styleId="BodyTextIndent3">
    <w:name w:val="Body Text Indent 3"/>
    <w:basedOn w:val="Normal"/>
    <w:pPr>
      <w:ind w:left="1440" w:hanging="720"/>
    </w:pPr>
    <w:rPr>
      <w:rFonts w:ascii="Times New Roman" w:hAnsi="Times New Roman"/>
      <w:sz w:val="24"/>
      <w:szCs w:val="24"/>
    </w:rPr>
  </w:style>
  <w:style w:type="paragraph" w:styleId="BodyText">
    <w:name w:val="Body Text"/>
    <w:basedOn w:val="Normal"/>
    <w:pPr>
      <w:tabs>
        <w:tab w:val="left" w:pos="360"/>
      </w:tabs>
    </w:pPr>
    <w:rPr>
      <w:rFonts w:ascii="Times New Roman" w:hAnsi="Times New Roman"/>
      <w:sz w:val="24"/>
      <w:szCs w:val="24"/>
    </w:rPr>
  </w:style>
  <w:style w:type="paragraph" w:styleId="DocumentMap">
    <w:name w:val="Document Map"/>
    <w:basedOn w:val="Normal"/>
    <w:semiHidden/>
    <w:pPr>
      <w:shd w:val="clear" w:color="auto" w:fill="000080"/>
    </w:pPr>
    <w:rPr>
      <w:rFonts w:ascii="Tahoma" w:hAnsi="Tahoma" w:cs="Tahoma"/>
    </w:rPr>
  </w:style>
  <w:style w:type="paragraph" w:styleId="BlockText">
    <w:name w:val="Block Text"/>
    <w:basedOn w:val="Normal"/>
    <w:pPr>
      <w:tabs>
        <w:tab w:val="left" w:pos="360"/>
      </w:tabs>
      <w:ind w:left="720" w:right="720"/>
    </w:pPr>
    <w:rPr>
      <w:rFonts w:ascii="Times New Roman" w:hAnsi="Times New Roman"/>
      <w:sz w:val="24"/>
      <w:szCs w:val="24"/>
    </w:rPr>
  </w:style>
  <w:style w:type="paragraph" w:styleId="BodyText20">
    <w:name w:val="Body Text 2"/>
    <w:basedOn w:val="Normal"/>
    <w:pPr>
      <w:tabs>
        <w:tab w:val="left" w:pos="360"/>
      </w:tabs>
      <w:ind w:left="360" w:hanging="360"/>
    </w:pPr>
    <w:rPr>
      <w:rFonts w:ascii="Times New Roman" w:hAnsi="Times New Roman"/>
      <w:sz w:val="24"/>
      <w:szCs w:val="24"/>
    </w:rPr>
  </w:style>
  <w:style w:type="paragraph" w:styleId="BodyText21">
    <w:name w:val="Body Text 2"/>
    <w:basedOn w:val="Normal"/>
    <w:pPr>
      <w:ind w:left="720"/>
    </w:pPr>
    <w:rPr>
      <w:rFonts w:ascii="Times New Roman" w:hAnsi="Times New Roman"/>
      <w:sz w:val="24"/>
      <w:szCs w:val="24"/>
    </w:rPr>
  </w:style>
  <w:style w:type="paragraph" w:styleId="BodyTextIndent">
    <w:name w:val="Body Text Indent"/>
    <w:basedOn w:val="Normal"/>
    <w:pPr>
      <w:spacing w:before="120" w:line="240" w:lineRule="atLeast"/>
      <w:ind w:left="720" w:hanging="720"/>
    </w:pPr>
    <w:rPr>
      <w:rFonts w:ascii="Garamond" w:hAnsi="Garamond"/>
      <w:sz w:val="24"/>
      <w:szCs w:val="24"/>
    </w:r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spacing w:line="240" w:lineRule="exact"/>
    </w:pPr>
    <w:rPr>
      <w:rFonts w:ascii="Garamond" w:hAnsi="Garamond"/>
      <w:b/>
      <w:bCs/>
      <w:sz w:val="24"/>
      <w:szCs w:val="24"/>
    </w:rPr>
  </w:style>
  <w:style w:type="paragraph" w:styleId="Footer">
    <w:name w:val="footer"/>
    <w:basedOn w:val="Normal"/>
    <w:pPr>
      <w:tabs>
        <w:tab w:val="center" w:pos="4320"/>
        <w:tab w:val="right" w:pos="8640"/>
      </w:tabs>
    </w:pPr>
  </w:style>
  <w:style w:type="paragraph" w:customStyle="1" w:styleId="endnotetext">
    <w:name w:val="endnote text"/>
    <w:basedOn w:val="Normal"/>
    <w:rPr>
      <w:rFonts w:ascii="Times New Roman" w:hAnsi="Times New Roman"/>
    </w:rPr>
  </w:style>
  <w:style w:type="character" w:styleId="FootnoteReference">
    <w:name w:val="footnote reference"/>
    <w:basedOn w:val="DefaultParagraphFont"/>
    <w:semiHidden/>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Roman 10cpi" w:hAnsi="Roman 10cpi"/>
      <w:lang w:val="en-US" w:eastAsia="en-US"/>
    </w:rPr>
  </w:style>
  <w:style w:type="paragraph" w:styleId="Heading1">
    <w:name w:val="heading 1"/>
    <w:basedOn w:val="Normal"/>
    <w:next w:val="Normal"/>
    <w:qFormat/>
    <w:pPr>
      <w:keepNext/>
      <w:tabs>
        <w:tab w:val="left" w:pos="360"/>
      </w:tabs>
      <w:outlineLvl w:val="0"/>
    </w:pPr>
    <w:rPr>
      <w:rFonts w:ascii="Times New Roman" w:hAnsi="Times New Roman"/>
      <w:sz w:val="24"/>
      <w:szCs w:val="24"/>
      <w:u w:val="single"/>
    </w:rPr>
  </w:style>
  <w:style w:type="paragraph" w:styleId="Heading2">
    <w:name w:val="heading 2"/>
    <w:basedOn w:val="Normal"/>
    <w:next w:val="Normal"/>
    <w:qFormat/>
    <w:pPr>
      <w:keepNext/>
      <w:tabs>
        <w:tab w:val="left" w:pos="360"/>
      </w:tabs>
      <w:outlineLvl w:val="1"/>
    </w:pPr>
    <w:rPr>
      <w:rFonts w:ascii="Times New Roman" w:hAnsi="Times New Roman"/>
      <w:sz w:val="24"/>
      <w:szCs w:val="24"/>
    </w:rPr>
  </w:style>
  <w:style w:type="paragraph" w:styleId="Heading3">
    <w:name w:val="heading 3"/>
    <w:basedOn w:val="Normal"/>
    <w:next w:val="Normal"/>
    <w:qFormat/>
    <w:pPr>
      <w:keepNext/>
      <w:tabs>
        <w:tab w:val="left" w:pos="360"/>
      </w:tabs>
      <w:ind w:left="720" w:right="720"/>
      <w:outlineLvl w:val="2"/>
    </w:pPr>
    <w:rPr>
      <w:rFonts w:ascii="Times New Roman" w:hAnsi="Times New Roman"/>
      <w:b/>
      <w:bCs/>
      <w:sz w:val="24"/>
      <w:szCs w:val="24"/>
      <w:u w:val="single"/>
    </w:rPr>
  </w:style>
  <w:style w:type="paragraph" w:styleId="Heading4">
    <w:name w:val="heading 4"/>
    <w:basedOn w:val="Normal"/>
    <w:next w:val="Normal"/>
    <w:qFormat/>
    <w:pPr>
      <w:keepNext/>
      <w:tabs>
        <w:tab w:val="left" w:pos="360"/>
      </w:tabs>
      <w:outlineLvl w:val="3"/>
    </w:pPr>
    <w:rPr>
      <w:rFonts w:ascii="Times New Roman" w:hAnsi="Times New Roman"/>
      <w:b/>
      <w:bCs/>
      <w:sz w:val="24"/>
      <w:szCs w:val="24"/>
      <w:u w:val="single"/>
    </w:rPr>
  </w:style>
  <w:style w:type="paragraph" w:styleId="Heading5">
    <w:name w:val="heading 5"/>
    <w:basedOn w:val="Normal"/>
    <w:next w:val="Normal"/>
    <w:qFormat/>
    <w:pPr>
      <w:keepNext/>
      <w:jc w:val="center"/>
      <w:outlineLvl w:val="4"/>
    </w:pPr>
    <w:rPr>
      <w:rFonts w:ascii="Times New Roman" w:hAnsi="Times New Roman"/>
      <w:b/>
      <w:bCs/>
      <w:sz w:val="24"/>
      <w:szCs w:val="24"/>
    </w:rPr>
  </w:style>
  <w:style w:type="paragraph" w:styleId="Heading6">
    <w:name w:val="heading 6"/>
    <w:basedOn w:val="Normal"/>
    <w:next w:val="Normal"/>
    <w:qFormat/>
    <w:pPr>
      <w:keepNext/>
      <w:ind w:left="4320" w:firstLine="720"/>
      <w:outlineLvl w:val="5"/>
    </w:pPr>
    <w:rPr>
      <w:rFonts w:ascii="Times New Roman" w:hAnsi="Times New Roman"/>
      <w:sz w:val="24"/>
      <w:szCs w:val="24"/>
    </w:rPr>
  </w:style>
  <w:style w:type="paragraph" w:styleId="Heading7">
    <w:name w:val="heading 7"/>
    <w:basedOn w:val="Normal"/>
    <w:next w:val="Normal"/>
    <w:qFormat/>
    <w:pPr>
      <w:keepNext/>
      <w:ind w:left="1440" w:firstLine="720"/>
      <w:outlineLvl w:val="6"/>
    </w:pPr>
    <w:rPr>
      <w:rFonts w:ascii="Times New Roman" w:hAnsi="Times New Roman"/>
      <w:sz w:val="24"/>
      <w:szCs w:val="24"/>
    </w:rPr>
  </w:style>
  <w:style w:type="paragraph" w:styleId="Heading8">
    <w:name w:val="heading 8"/>
    <w:basedOn w:val="Normal"/>
    <w:next w:val="Normal"/>
    <w:qFormat/>
    <w:pPr>
      <w:keepNext/>
      <w:outlineLvl w:val="7"/>
    </w:pPr>
    <w:rPr>
      <w:rFonts w:ascii="Garamond" w:hAnsi="Garamond"/>
      <w:sz w:val="28"/>
      <w:szCs w:val="28"/>
    </w:rPr>
  </w:style>
  <w:style w:type="paragraph" w:styleId="Heading9">
    <w:name w:val="heading 9"/>
    <w:basedOn w:val="Normal"/>
    <w:next w:val="Normal"/>
    <w:qFormat/>
    <w:pPr>
      <w:keepNext/>
      <w:tabs>
        <w:tab w:val="left" w:pos="360"/>
      </w:tabs>
      <w:ind w:left="360" w:hanging="360"/>
      <w:outlineLvl w:val="8"/>
    </w:pPr>
    <w:rPr>
      <w:rFonts w:ascii="Garamond" w:hAnsi="Garamond"/>
      <w:b/>
      <w:bCs/>
      <w:sz w:val="24"/>
      <w:szCs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tabs>
        <w:tab w:val="left" w:pos="360"/>
      </w:tabs>
      <w:ind w:left="360" w:hanging="360"/>
    </w:pPr>
    <w:rPr>
      <w:rFonts w:ascii="Garamond" w:hAnsi="Garamond"/>
      <w:sz w:val="24"/>
      <w:szCs w:val="24"/>
    </w:rPr>
  </w:style>
  <w:style w:type="paragraph" w:styleId="BodyTextIndent2">
    <w:name w:val="Body Text Indent 2"/>
    <w:basedOn w:val="Normal"/>
    <w:pPr>
      <w:ind w:left="720" w:firstLine="720"/>
    </w:pPr>
    <w:rPr>
      <w:rFonts w:ascii="Times New Roman" w:hAnsi="Times New Roman"/>
      <w:sz w:val="24"/>
      <w:szCs w:val="24"/>
    </w:rPr>
  </w:style>
  <w:style w:type="paragraph" w:styleId="Title">
    <w:name w:val="Title"/>
    <w:basedOn w:val="Normal"/>
    <w:qFormat/>
    <w:pPr>
      <w:jc w:val="center"/>
    </w:pPr>
    <w:rPr>
      <w:rFonts w:ascii="Times New Roman" w:hAnsi="Times New Roman"/>
      <w:b/>
      <w:bCs/>
      <w:sz w:val="24"/>
      <w:szCs w:val="24"/>
    </w:rPr>
  </w:style>
  <w:style w:type="paragraph" w:styleId="BodyTextIndent3">
    <w:name w:val="Body Text Indent 3"/>
    <w:basedOn w:val="Normal"/>
    <w:pPr>
      <w:ind w:left="1440" w:hanging="720"/>
    </w:pPr>
    <w:rPr>
      <w:rFonts w:ascii="Times New Roman" w:hAnsi="Times New Roman"/>
      <w:sz w:val="24"/>
      <w:szCs w:val="24"/>
    </w:rPr>
  </w:style>
  <w:style w:type="paragraph" w:styleId="BodyText">
    <w:name w:val="Body Text"/>
    <w:basedOn w:val="Normal"/>
    <w:pPr>
      <w:tabs>
        <w:tab w:val="left" w:pos="360"/>
      </w:tabs>
    </w:pPr>
    <w:rPr>
      <w:rFonts w:ascii="Times New Roman" w:hAnsi="Times New Roman"/>
      <w:sz w:val="24"/>
      <w:szCs w:val="24"/>
    </w:rPr>
  </w:style>
  <w:style w:type="paragraph" w:styleId="DocumentMap">
    <w:name w:val="Document Map"/>
    <w:basedOn w:val="Normal"/>
    <w:semiHidden/>
    <w:pPr>
      <w:shd w:val="clear" w:color="auto" w:fill="000080"/>
    </w:pPr>
    <w:rPr>
      <w:rFonts w:ascii="Tahoma" w:hAnsi="Tahoma" w:cs="Tahoma"/>
    </w:rPr>
  </w:style>
  <w:style w:type="paragraph" w:styleId="BlockText">
    <w:name w:val="Block Text"/>
    <w:basedOn w:val="Normal"/>
    <w:pPr>
      <w:tabs>
        <w:tab w:val="left" w:pos="360"/>
      </w:tabs>
      <w:ind w:left="720" w:right="720"/>
    </w:pPr>
    <w:rPr>
      <w:rFonts w:ascii="Times New Roman" w:hAnsi="Times New Roman"/>
      <w:sz w:val="24"/>
      <w:szCs w:val="24"/>
    </w:rPr>
  </w:style>
  <w:style w:type="paragraph" w:styleId="BodyText20">
    <w:name w:val="Body Text 2"/>
    <w:basedOn w:val="Normal"/>
    <w:pPr>
      <w:tabs>
        <w:tab w:val="left" w:pos="360"/>
      </w:tabs>
      <w:ind w:left="360" w:hanging="360"/>
    </w:pPr>
    <w:rPr>
      <w:rFonts w:ascii="Times New Roman" w:hAnsi="Times New Roman"/>
      <w:sz w:val="24"/>
      <w:szCs w:val="24"/>
    </w:rPr>
  </w:style>
  <w:style w:type="paragraph" w:styleId="BodyText21">
    <w:name w:val="Body Text 2"/>
    <w:basedOn w:val="Normal"/>
    <w:pPr>
      <w:ind w:left="720"/>
    </w:pPr>
    <w:rPr>
      <w:rFonts w:ascii="Times New Roman" w:hAnsi="Times New Roman"/>
      <w:sz w:val="24"/>
      <w:szCs w:val="24"/>
    </w:rPr>
  </w:style>
  <w:style w:type="paragraph" w:styleId="BodyTextIndent">
    <w:name w:val="Body Text Indent"/>
    <w:basedOn w:val="Normal"/>
    <w:pPr>
      <w:spacing w:before="120" w:line="240" w:lineRule="atLeast"/>
      <w:ind w:left="720" w:hanging="720"/>
    </w:pPr>
    <w:rPr>
      <w:rFonts w:ascii="Garamond" w:hAnsi="Garamond"/>
      <w:sz w:val="24"/>
      <w:szCs w:val="24"/>
    </w:r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spacing w:line="240" w:lineRule="exact"/>
    </w:pPr>
    <w:rPr>
      <w:rFonts w:ascii="Garamond" w:hAnsi="Garamond"/>
      <w:b/>
      <w:bCs/>
      <w:sz w:val="24"/>
      <w:szCs w:val="24"/>
    </w:rPr>
  </w:style>
  <w:style w:type="paragraph" w:styleId="Footer">
    <w:name w:val="footer"/>
    <w:basedOn w:val="Normal"/>
    <w:pPr>
      <w:tabs>
        <w:tab w:val="center" w:pos="4320"/>
        <w:tab w:val="right" w:pos="8640"/>
      </w:tabs>
    </w:pPr>
  </w:style>
  <w:style w:type="paragraph" w:customStyle="1" w:styleId="endnotetext">
    <w:name w:val="endnote text"/>
    <w:basedOn w:val="Normal"/>
    <w:rPr>
      <w:rFonts w:ascii="Times New Roman" w:hAnsi="Times New Roman"/>
    </w:rPr>
  </w:style>
  <w:style w:type="character" w:styleId="FootnoteReference">
    <w:name w:val="footnote reference"/>
    <w:basedOn w:val="DefaultParagraphFont"/>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1939</Words>
  <Characters>11053</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Sample Course Outline – 30 Sessions</vt:lpstr>
    </vt:vector>
  </TitlesOfParts>
  <Company>Dartmouth College</Company>
  <LinksUpToDate>false</LinksUpToDate>
  <CharactersWithSpaces>12967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Course Outline – 30 Sessions</dc:title>
  <dc:subject/>
  <dc:creator>Wake Forest University</dc:creator>
  <cp:keywords/>
  <dc:description/>
  <cp:lastModifiedBy>ZEENAT JABBAR</cp:lastModifiedBy>
  <cp:revision>2</cp:revision>
  <cp:lastPrinted>2002-07-16T09:02:00Z</cp:lastPrinted>
  <dcterms:created xsi:type="dcterms:W3CDTF">2013-06-16T16:09:00Z</dcterms:created>
  <dcterms:modified xsi:type="dcterms:W3CDTF">2013-06-16T16:09:00Z</dcterms:modified>
</cp:coreProperties>
</file>