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A8C" w:rsidRDefault="00603639">
      <w:pPr>
        <w:tabs>
          <w:tab w:val="left" w:pos="360"/>
        </w:tabs>
        <w:jc w:val="center"/>
        <w:rPr>
          <w:rFonts w:ascii="Garamond" w:hAnsi="Garamond"/>
          <w:b/>
          <w:sz w:val="24"/>
        </w:rPr>
      </w:pPr>
      <w:r>
        <w:rPr>
          <w:rFonts w:ascii="Garamond" w:hAnsi="Garamond"/>
          <w:b/>
          <w:sz w:val="24"/>
        </w:rPr>
        <w:t>LECTURE</w:t>
      </w:r>
      <w:r w:rsidR="002F1A8C">
        <w:rPr>
          <w:rFonts w:ascii="Garamond" w:hAnsi="Garamond"/>
          <w:b/>
          <w:sz w:val="24"/>
        </w:rPr>
        <w:t xml:space="preserve"> 13</w:t>
      </w:r>
    </w:p>
    <w:p w:rsidR="002F1A8C" w:rsidRDefault="002F1A8C">
      <w:pPr>
        <w:tabs>
          <w:tab w:val="left" w:pos="360"/>
        </w:tabs>
        <w:jc w:val="center"/>
        <w:rPr>
          <w:rFonts w:ascii="Garamond" w:hAnsi="Garamond"/>
          <w:b/>
          <w:sz w:val="24"/>
        </w:rPr>
      </w:pPr>
      <w:r>
        <w:rPr>
          <w:rFonts w:ascii="Garamond" w:hAnsi="Garamond"/>
          <w:b/>
          <w:sz w:val="24"/>
        </w:rPr>
        <w:t xml:space="preserve">Managing Brands </w:t>
      </w:r>
      <w:proofErr w:type="gramStart"/>
      <w:r>
        <w:rPr>
          <w:rFonts w:ascii="Garamond" w:hAnsi="Garamond"/>
          <w:b/>
          <w:sz w:val="24"/>
        </w:rPr>
        <w:t>Over</w:t>
      </w:r>
      <w:proofErr w:type="gramEnd"/>
      <w:r>
        <w:rPr>
          <w:rFonts w:ascii="Garamond" w:hAnsi="Garamond"/>
          <w:b/>
          <w:sz w:val="24"/>
        </w:rPr>
        <w:t xml:space="preserve"> Time</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p>
    <w:p w:rsidR="002F1A8C" w:rsidRDefault="002F1A8C">
      <w:pPr>
        <w:pStyle w:val="Heading2"/>
        <w:rPr>
          <w:rFonts w:ascii="Garamond" w:hAnsi="Garamond"/>
          <w:u w:val="single"/>
        </w:rPr>
      </w:pPr>
      <w:r>
        <w:rPr>
          <w:rFonts w:ascii="Garamond" w:hAnsi="Garamond"/>
          <w:b/>
          <w:u w:val="single"/>
        </w:rPr>
        <w:t>Overview</w:t>
      </w:r>
    </w:p>
    <w:p w:rsidR="00603639" w:rsidRDefault="00603639">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The health and well-being of a brand can be significantly affected by both external forces (related to consumer behavior, channel structure and power, competitive intensity and strategy, government regulation, and other facets of the marketing environment) and internal forces (related to a company’s commitment to and stewardship of a brand). This chapter examines how best to manage equity over time in the face of external and internal pressures on a brand.</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 xml:space="preserve">The keystones to successful brand management are reinforcement of brand meaning and identification of new sources of equity. Two important factors in reinforcing brand meaning are consistency in the amount and nature of marketing support given a brand and a commitment to preserving and protecting existing sources of equity. When identifying potential new sources of equity, it is necessary for a company to recognize the inherent tradeoffs between marketing activities that fortify brand equity and those that leverage it in pursuit of growth and financial gain. </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 xml:space="preserve">If a brand loses its luster, a revitalization strategy may be required to return it to prominence. This entails either taking a brand back to its roots to recapture lost sources of equity, or identifying and establishing new sources of equity. Sometimes a brand’s misfortunes arise from a lack of breadth in consumer awareness levels caused by a tendency of consumers to think of it in very narrow ways. In such cases marketers can identify ways to use the brand more frequently, use more of the brand when it is consumed, or use the brand in more ways. </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 xml:space="preserve">When the problem is one of image, not awareness, a new marketing campaign may be required to improve the strength, favorability, and uniqueness of a brand’s associations. This can involve neutralizing negative associations, shoring up positive associations, or creating positive associations. A company may want to reposition a brand by establishing new points-of-parity or points-of-difference. </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 xml:space="preserve">Companies with more than one brand in a product line should develop migration strategies </w:t>
      </w:r>
      <w:proofErr w:type="gramStart"/>
      <w:r>
        <w:rPr>
          <w:rFonts w:ascii="Garamond" w:hAnsi="Garamond"/>
          <w:sz w:val="24"/>
        </w:rPr>
        <w:t>that</w:t>
      </w:r>
      <w:proofErr w:type="gramEnd"/>
      <w:r>
        <w:rPr>
          <w:rFonts w:ascii="Garamond" w:hAnsi="Garamond"/>
          <w:sz w:val="24"/>
        </w:rPr>
        <w:t xml:space="preserve"> rationalize the movement of consumers across franchises as their needs and wants change or as the features and positions of the brands change. If a brand fails to maintain or build equity over time, a milking strategy to extract maximum profits before “retirement” may be in order.</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r>
        <w:rPr>
          <w:rFonts w:ascii="Garamond" w:hAnsi="Garamond"/>
          <w:sz w:val="24"/>
        </w:rPr>
        <w:t xml:space="preserve">Brand Focus 13.0 discusses changing a corporate name and also covers brand migration strategies. High-profile corporations may spend up to $100 million on a name change. A new name must be evaluated in terms of memorability, meaningfulness, likeability, </w:t>
      </w:r>
      <w:proofErr w:type="spellStart"/>
      <w:r>
        <w:rPr>
          <w:rFonts w:ascii="Garamond" w:hAnsi="Garamond"/>
          <w:sz w:val="24"/>
        </w:rPr>
        <w:t>protectability</w:t>
      </w:r>
      <w:proofErr w:type="spellEnd"/>
      <w:r>
        <w:rPr>
          <w:rFonts w:ascii="Garamond" w:hAnsi="Garamond"/>
          <w:sz w:val="24"/>
        </w:rPr>
        <w:t xml:space="preserve">, adaptability, and transferability. </w:t>
      </w:r>
    </w:p>
    <w:p w:rsidR="002F1A8C" w:rsidRDefault="002F1A8C">
      <w:pPr>
        <w:tabs>
          <w:tab w:val="left" w:pos="360"/>
        </w:tabs>
        <w:rPr>
          <w:rFonts w:ascii="Garamond" w:hAnsi="Garamond"/>
          <w:sz w:val="24"/>
        </w:rPr>
      </w:pPr>
    </w:p>
    <w:p w:rsidR="002F1A8C" w:rsidRDefault="002F1A8C">
      <w:pPr>
        <w:tabs>
          <w:tab w:val="left" w:pos="360"/>
        </w:tabs>
        <w:rPr>
          <w:rFonts w:ascii="Garamond" w:hAnsi="Garamond"/>
          <w:sz w:val="24"/>
        </w:rPr>
      </w:pPr>
    </w:p>
    <w:p w:rsidR="002F1A8C" w:rsidRDefault="002F1A8C">
      <w:pPr>
        <w:pStyle w:val="Heading1"/>
        <w:rPr>
          <w:rFonts w:ascii="Garamond" w:hAnsi="Garamond"/>
        </w:rPr>
      </w:pPr>
      <w:r>
        <w:rPr>
          <w:rFonts w:ascii="Garamond" w:hAnsi="Garamond"/>
          <w:b/>
        </w:rPr>
        <w:lastRenderedPageBreak/>
        <w:t>Key take-away points</w:t>
      </w:r>
    </w:p>
    <w:p w:rsidR="002F1A8C" w:rsidRDefault="002F1A8C">
      <w:pPr>
        <w:pStyle w:val="Heading1"/>
        <w:spacing w:before="120"/>
        <w:ind w:left="360" w:hanging="360"/>
        <w:rPr>
          <w:rFonts w:ascii="Garamond" w:hAnsi="Garamond"/>
          <w:u w:val="none"/>
        </w:rPr>
      </w:pPr>
      <w:r>
        <w:rPr>
          <w:rFonts w:ascii="Garamond" w:hAnsi="Garamond"/>
          <w:u w:val="none"/>
        </w:rPr>
        <w:t>1.</w:t>
      </w:r>
      <w:r>
        <w:rPr>
          <w:rFonts w:ascii="Garamond" w:hAnsi="Garamond"/>
          <w:u w:val="none"/>
        </w:rPr>
        <w:tab/>
        <w:t>A brand’s health can be affected by changes in consumer preferences, company commitment, competitive products and programs, and channel support, among other factors.</w:t>
      </w:r>
    </w:p>
    <w:p w:rsidR="002F1A8C" w:rsidRDefault="002F1A8C">
      <w:pPr>
        <w:pStyle w:val="Heading1"/>
        <w:spacing w:before="120"/>
        <w:ind w:left="360" w:hanging="360"/>
        <w:rPr>
          <w:rFonts w:ascii="Garamond" w:hAnsi="Garamond"/>
          <w:u w:val="none"/>
        </w:rPr>
      </w:pPr>
      <w:r>
        <w:rPr>
          <w:rFonts w:ascii="Garamond" w:hAnsi="Garamond"/>
          <w:u w:val="none"/>
        </w:rPr>
        <w:t xml:space="preserve">2. </w:t>
      </w:r>
      <w:r>
        <w:rPr>
          <w:rFonts w:ascii="Garamond" w:hAnsi="Garamond"/>
          <w:u w:val="none"/>
        </w:rPr>
        <w:tab/>
        <w:t xml:space="preserve">Successful brand management requires reinforcing brand meaning and identifying new sources of equity. </w:t>
      </w:r>
    </w:p>
    <w:p w:rsidR="002F1A8C" w:rsidRDefault="002F1A8C">
      <w:pPr>
        <w:pStyle w:val="Heading1"/>
        <w:spacing w:before="120"/>
        <w:ind w:left="360" w:hanging="360"/>
        <w:rPr>
          <w:rFonts w:ascii="Garamond" w:hAnsi="Garamond"/>
          <w:u w:val="none"/>
        </w:rPr>
      </w:pPr>
      <w:r>
        <w:rPr>
          <w:rFonts w:ascii="Garamond" w:hAnsi="Garamond"/>
          <w:u w:val="none"/>
        </w:rPr>
        <w:t>3.</w:t>
      </w:r>
      <w:r>
        <w:rPr>
          <w:rFonts w:ascii="Garamond" w:hAnsi="Garamond"/>
          <w:u w:val="none"/>
        </w:rPr>
        <w:tab/>
        <w:t>Building and maintaining customer-based equity requires consistency in the in the amount and nature of marketing support a brand receives.</w:t>
      </w:r>
    </w:p>
    <w:p w:rsidR="002F1A8C" w:rsidRDefault="002F1A8C">
      <w:pPr>
        <w:spacing w:before="120"/>
        <w:ind w:left="360" w:hanging="360"/>
        <w:rPr>
          <w:rFonts w:ascii="Garamond" w:hAnsi="Garamond"/>
          <w:sz w:val="24"/>
        </w:rPr>
      </w:pPr>
      <w:r>
        <w:rPr>
          <w:rFonts w:ascii="Garamond" w:hAnsi="Garamond"/>
          <w:sz w:val="24"/>
        </w:rPr>
        <w:t>4.</w:t>
      </w:r>
      <w:r>
        <w:rPr>
          <w:rFonts w:ascii="Garamond" w:hAnsi="Garamond"/>
          <w:sz w:val="24"/>
        </w:rPr>
        <w:tab/>
        <w:t>Effective brand management requires taking a long-term view of marketing decisions.</w:t>
      </w:r>
    </w:p>
    <w:p w:rsidR="002F1A8C" w:rsidRDefault="002F1A8C">
      <w:pPr>
        <w:spacing w:line="240" w:lineRule="atLeast"/>
        <w:jc w:val="center"/>
        <w:rPr>
          <w:rFonts w:ascii="Garamond" w:hAnsi="Garamond"/>
          <w:b/>
          <w:i/>
          <w:caps/>
          <w:sz w:val="24"/>
        </w:rPr>
      </w:pPr>
      <w:r>
        <w:rPr>
          <w:rFonts w:ascii="Times New Roman" w:hAnsi="Times New Roman"/>
          <w:sz w:val="24"/>
        </w:rPr>
        <w:br w:type="page"/>
      </w:r>
      <w:r w:rsidR="00B14403">
        <w:rPr>
          <w:rFonts w:ascii="Garamond" w:hAnsi="Garamond"/>
          <w:b/>
          <w:i/>
          <w:caps/>
          <w:sz w:val="24"/>
        </w:rPr>
        <w:lastRenderedPageBreak/>
        <w:t>branding brief 13-12</w:t>
      </w:r>
    </w:p>
    <w:p w:rsidR="002F1A8C" w:rsidRDefault="002F1A8C">
      <w:pPr>
        <w:spacing w:line="240" w:lineRule="atLeast"/>
        <w:jc w:val="center"/>
        <w:rPr>
          <w:rFonts w:ascii="Garamond" w:hAnsi="Garamond"/>
          <w:b/>
          <w:i/>
          <w:caps/>
          <w:sz w:val="24"/>
        </w:rPr>
      </w:pPr>
      <w:r>
        <w:rPr>
          <w:rFonts w:ascii="Garamond" w:hAnsi="Garamond"/>
          <w:b/>
          <w:i/>
          <w:caps/>
          <w:sz w:val="24"/>
        </w:rPr>
        <w:t>brewing up big profits at anheuser-busch</w:t>
      </w:r>
      <w:r>
        <w:rPr>
          <w:rStyle w:val="FootnoteReference"/>
          <w:rFonts w:ascii="Garamond" w:hAnsi="Garamond"/>
          <w:b/>
          <w:i/>
          <w:caps/>
          <w:sz w:val="24"/>
        </w:rPr>
        <w:footnoteReference w:id="1"/>
      </w:r>
    </w:p>
    <w:p w:rsidR="002F1A8C" w:rsidRDefault="002F1A8C">
      <w:pPr>
        <w:jc w:val="center"/>
        <w:rPr>
          <w:rFonts w:ascii="Garamond" w:hAnsi="Garamond"/>
          <w:sz w:val="24"/>
        </w:rPr>
      </w:pPr>
    </w:p>
    <w:p w:rsidR="002F1A8C" w:rsidRDefault="002F1A8C">
      <w:pPr>
        <w:pStyle w:val="Heading1"/>
        <w:rPr>
          <w:rFonts w:ascii="Garamond" w:hAnsi="Garamond"/>
        </w:rPr>
      </w:pPr>
    </w:p>
    <w:p w:rsidR="002F1A8C" w:rsidRDefault="002F1A8C">
      <w:pPr>
        <w:rPr>
          <w:rFonts w:ascii="Garamond" w:hAnsi="Garamond"/>
          <w:sz w:val="24"/>
        </w:rPr>
      </w:pPr>
      <w:r>
        <w:rPr>
          <w:rFonts w:ascii="Garamond" w:hAnsi="Garamond"/>
          <w:sz w:val="24"/>
        </w:rPr>
        <w:t xml:space="preserve">Budweiser Lager was first brewed in 1876 by E. Anheuser &amp; Co., </w:t>
      </w:r>
      <w:smartTag w:uri="urn:schemas-microsoft-com:office:smarttags" w:element="place">
        <w:smartTag w:uri="urn:schemas-microsoft-com:office:smarttags" w:element="City">
          <w:r>
            <w:rPr>
              <w:rFonts w:ascii="Garamond" w:hAnsi="Garamond"/>
              <w:sz w:val="24"/>
            </w:rPr>
            <w:t>St. Louis</w:t>
          </w:r>
        </w:smartTag>
      </w:smartTag>
      <w:r>
        <w:rPr>
          <w:rFonts w:ascii="Garamond" w:hAnsi="Garamond"/>
          <w:sz w:val="24"/>
        </w:rPr>
        <w:t xml:space="preserve">.  Today, Anheuser-Busch is the largest brewer in the world in terms of volume and competes across a diverse range of markets.  The company oversees more than 30 different beer brands, including the domestic market leader Budweiser, a number of other beverages, a group of theme parks, and a real estate enterprise.  A broad brand portfolio has been a boon to Anheuser-Busch in the past.  During the Prohibition era (1920-1923), the company kept revenues pouring in by selling products as diverse as yeast, refrigeration units, truck bodies, soft drinks, and chocolate syrup.  After Prohibition, Anheuser-Busch continued to grow with its core malt beverages and in </w:t>
      </w:r>
      <w:proofErr w:type="gramStart"/>
      <w:r>
        <w:rPr>
          <w:rFonts w:ascii="Garamond" w:hAnsi="Garamond"/>
          <w:sz w:val="24"/>
        </w:rPr>
        <w:t>1957,</w:t>
      </w:r>
      <w:proofErr w:type="gramEnd"/>
      <w:r>
        <w:rPr>
          <w:rFonts w:ascii="Garamond" w:hAnsi="Garamond"/>
          <w:sz w:val="24"/>
        </w:rPr>
        <w:t xml:space="preserve"> Budweiser surpassed Schlitz to become the leading beer in the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In 1980, the company had a 28 percent share of the domestic beer market, a figure that would rise steadily over the next two decades.  By 2000, Anheuser’s domestic market share climbed to 50 percent, leaving competitors Coors and Miller far behind with 21 percent and 12 percent, respectively.  The table below displays Anheuser-Busch’s brand portfolio. </w:t>
      </w:r>
    </w:p>
    <w:p w:rsidR="002F1A8C" w:rsidRDefault="002F1A8C">
      <w:pPr>
        <w:pStyle w:val="Heading1"/>
        <w:rPr>
          <w:rFonts w:ascii="Garamond" w:hAnsi="Garamond"/>
          <w:b/>
        </w:rPr>
      </w:pPr>
    </w:p>
    <w:p w:rsidR="002F1A8C" w:rsidRDefault="002F1A8C">
      <w:pPr>
        <w:pStyle w:val="Heading1"/>
        <w:rPr>
          <w:rFonts w:ascii="Garamond" w:hAnsi="Garamond"/>
        </w:rPr>
      </w:pPr>
      <w:r>
        <w:rPr>
          <w:rFonts w:ascii="Garamond" w:hAnsi="Garamond"/>
        </w:rPr>
        <w:t>Beers</w:t>
      </w:r>
    </w:p>
    <w:p w:rsidR="002F1A8C" w:rsidRDefault="002F1A8C">
      <w:pPr>
        <w:ind w:left="1440" w:hanging="720"/>
        <w:rPr>
          <w:rFonts w:ascii="Garamond" w:hAnsi="Garamond"/>
          <w:sz w:val="24"/>
        </w:rPr>
      </w:pPr>
      <w:r>
        <w:rPr>
          <w:rFonts w:ascii="Garamond" w:hAnsi="Garamond"/>
          <w:sz w:val="24"/>
        </w:rPr>
        <w:t>Budweiser – the company’s original beer</w:t>
      </w:r>
    </w:p>
    <w:p w:rsidR="002F1A8C" w:rsidRDefault="002F1A8C">
      <w:pPr>
        <w:ind w:left="1440" w:hanging="720"/>
        <w:rPr>
          <w:rFonts w:ascii="Garamond" w:hAnsi="Garamond"/>
          <w:sz w:val="24"/>
        </w:rPr>
      </w:pPr>
      <w:r>
        <w:rPr>
          <w:rFonts w:ascii="Garamond" w:hAnsi="Garamond"/>
          <w:sz w:val="24"/>
        </w:rPr>
        <w:t>Bud – comes in the following varieties: Dry, Ice, Ice Light, Light</w:t>
      </w:r>
    </w:p>
    <w:p w:rsidR="002F1A8C" w:rsidRDefault="002F1A8C">
      <w:pPr>
        <w:ind w:left="1440" w:hanging="720"/>
        <w:rPr>
          <w:rFonts w:ascii="Garamond" w:hAnsi="Garamond"/>
          <w:sz w:val="24"/>
        </w:rPr>
      </w:pPr>
      <w:r>
        <w:rPr>
          <w:rFonts w:ascii="Garamond" w:hAnsi="Garamond"/>
          <w:sz w:val="24"/>
        </w:rPr>
        <w:t>Busch – introduced 1955. Comes in Ice, Light, and regular</w:t>
      </w:r>
    </w:p>
    <w:p w:rsidR="002F1A8C" w:rsidRDefault="002F1A8C">
      <w:pPr>
        <w:pStyle w:val="BodyTextIndent3"/>
        <w:rPr>
          <w:rFonts w:ascii="Garamond" w:hAnsi="Garamond"/>
        </w:rPr>
      </w:pPr>
      <w:r>
        <w:rPr>
          <w:rFonts w:ascii="Garamond" w:hAnsi="Garamond"/>
        </w:rPr>
        <w:t xml:space="preserve">Michelob – first introduced in 1896. Now comes in several varieties: Light, Amber Bock, Honey Lager, Black &amp; Tan, </w:t>
      </w:r>
      <w:proofErr w:type="spellStart"/>
      <w:r>
        <w:rPr>
          <w:rFonts w:ascii="Garamond" w:hAnsi="Garamond"/>
        </w:rPr>
        <w:t>Hefe-Weizen</w:t>
      </w:r>
      <w:proofErr w:type="spellEnd"/>
      <w:r>
        <w:rPr>
          <w:rFonts w:ascii="Garamond" w:hAnsi="Garamond"/>
        </w:rPr>
        <w:t xml:space="preserve"> </w:t>
      </w:r>
    </w:p>
    <w:p w:rsidR="002F1A8C" w:rsidRDefault="002F1A8C">
      <w:pPr>
        <w:ind w:left="1440" w:hanging="720"/>
        <w:rPr>
          <w:rFonts w:ascii="Garamond" w:hAnsi="Garamond"/>
          <w:sz w:val="24"/>
        </w:rPr>
      </w:pPr>
      <w:r>
        <w:rPr>
          <w:rFonts w:ascii="Garamond" w:hAnsi="Garamond"/>
          <w:sz w:val="24"/>
        </w:rPr>
        <w:t>Natural – a discount beer, available in Ice and Light</w:t>
      </w:r>
    </w:p>
    <w:p w:rsidR="002F1A8C" w:rsidRDefault="002F1A8C">
      <w:pPr>
        <w:pStyle w:val="BodyTextIndent"/>
        <w:spacing w:before="0"/>
        <w:ind w:left="1440"/>
      </w:pPr>
      <w:r>
        <w:t xml:space="preserve">The company also brews several specialty and microbrews, including Pacific Ridge Ale, Red Wolf Lager, and Safari Amber Lager. Anheuser-Busch also brews two non-alcoholic beers, Busch NA and O’Doul’s. </w:t>
      </w:r>
    </w:p>
    <w:p w:rsidR="002F1A8C" w:rsidRDefault="002F1A8C">
      <w:pPr>
        <w:rPr>
          <w:rFonts w:ascii="Garamond" w:hAnsi="Garamond"/>
          <w:sz w:val="24"/>
        </w:rPr>
      </w:pPr>
    </w:p>
    <w:p w:rsidR="002F1A8C" w:rsidRDefault="002F1A8C">
      <w:pPr>
        <w:pStyle w:val="BodyText2"/>
        <w:rPr>
          <w:u w:val="single"/>
        </w:rPr>
      </w:pPr>
      <w:r>
        <w:rPr>
          <w:u w:val="single"/>
        </w:rPr>
        <w:t>Other Alcoholic Beverages</w:t>
      </w:r>
    </w:p>
    <w:p w:rsidR="002F1A8C" w:rsidRDefault="002F1A8C">
      <w:pPr>
        <w:pStyle w:val="BodyText2"/>
      </w:pPr>
      <w:r>
        <w:t>Doc Otis Hard Lemon – a lemon-flavored malt beverage</w:t>
      </w:r>
    </w:p>
    <w:p w:rsidR="002F1A8C" w:rsidRDefault="002F1A8C">
      <w:pPr>
        <w:ind w:left="720"/>
        <w:rPr>
          <w:rFonts w:ascii="Garamond" w:hAnsi="Garamond"/>
          <w:sz w:val="24"/>
        </w:rPr>
      </w:pPr>
      <w:smartTag w:uri="urn:schemas-microsoft-com:office:smarttags" w:element="place">
        <w:r>
          <w:rPr>
            <w:rFonts w:ascii="Garamond" w:hAnsi="Garamond"/>
            <w:sz w:val="24"/>
          </w:rPr>
          <w:t>Devon</w:t>
        </w:r>
      </w:smartTag>
      <w:r>
        <w:rPr>
          <w:rFonts w:ascii="Garamond" w:hAnsi="Garamond"/>
          <w:sz w:val="24"/>
        </w:rPr>
        <w:t xml:space="preserve">’s </w:t>
      </w:r>
      <w:proofErr w:type="spellStart"/>
      <w:r>
        <w:rPr>
          <w:rFonts w:ascii="Garamond" w:hAnsi="Garamond"/>
          <w:sz w:val="24"/>
        </w:rPr>
        <w:t>Shandy</w:t>
      </w:r>
      <w:proofErr w:type="spellEnd"/>
      <w:r>
        <w:rPr>
          <w:rFonts w:ascii="Garamond" w:hAnsi="Garamond"/>
          <w:sz w:val="24"/>
        </w:rPr>
        <w:t xml:space="preserve"> – a beer-lemonade mix</w:t>
      </w:r>
    </w:p>
    <w:p w:rsidR="002F1A8C" w:rsidRDefault="002F1A8C">
      <w:pPr>
        <w:ind w:left="720"/>
        <w:rPr>
          <w:rFonts w:ascii="Garamond" w:hAnsi="Garamond"/>
          <w:sz w:val="24"/>
        </w:rPr>
      </w:pPr>
      <w:r>
        <w:rPr>
          <w:rFonts w:ascii="Garamond" w:hAnsi="Garamond"/>
          <w:sz w:val="24"/>
        </w:rPr>
        <w:t>King Cobra – malt liquor</w:t>
      </w:r>
    </w:p>
    <w:p w:rsidR="002F1A8C" w:rsidRDefault="002F1A8C">
      <w:pPr>
        <w:ind w:left="720"/>
        <w:rPr>
          <w:rFonts w:ascii="Garamond" w:hAnsi="Garamond"/>
          <w:sz w:val="24"/>
        </w:rPr>
      </w:pPr>
      <w:r>
        <w:rPr>
          <w:rFonts w:ascii="Garamond" w:hAnsi="Garamond"/>
          <w:sz w:val="24"/>
        </w:rPr>
        <w:t>Hurricane – malt liquor</w:t>
      </w:r>
    </w:p>
    <w:p w:rsidR="002F1A8C" w:rsidRDefault="002F1A8C">
      <w:pPr>
        <w:ind w:left="720"/>
        <w:rPr>
          <w:rFonts w:ascii="Garamond" w:hAnsi="Garamond"/>
          <w:sz w:val="24"/>
        </w:rPr>
      </w:pPr>
      <w:proofErr w:type="spellStart"/>
      <w:r>
        <w:rPr>
          <w:rFonts w:ascii="Garamond" w:hAnsi="Garamond"/>
          <w:sz w:val="24"/>
        </w:rPr>
        <w:t>Tequiza</w:t>
      </w:r>
      <w:proofErr w:type="spellEnd"/>
      <w:r>
        <w:rPr>
          <w:rFonts w:ascii="Garamond" w:hAnsi="Garamond"/>
          <w:sz w:val="24"/>
        </w:rPr>
        <w:t xml:space="preserve"> – combines beer with the flavor of tequila</w:t>
      </w:r>
    </w:p>
    <w:p w:rsidR="002F1A8C" w:rsidRDefault="002F1A8C">
      <w:pPr>
        <w:ind w:left="720"/>
        <w:rPr>
          <w:rFonts w:ascii="Garamond" w:hAnsi="Garamond"/>
          <w:sz w:val="24"/>
        </w:rPr>
      </w:pPr>
    </w:p>
    <w:p w:rsidR="002F1A8C" w:rsidRDefault="002F1A8C">
      <w:pPr>
        <w:pStyle w:val="Heading1"/>
        <w:rPr>
          <w:rFonts w:ascii="Garamond" w:hAnsi="Garamond"/>
        </w:rPr>
      </w:pPr>
      <w:r>
        <w:rPr>
          <w:rFonts w:ascii="Garamond" w:hAnsi="Garamond"/>
        </w:rPr>
        <w:t>Non-Alcoholic Non-Beer Drinks</w:t>
      </w:r>
    </w:p>
    <w:p w:rsidR="002F1A8C" w:rsidRDefault="002F1A8C">
      <w:pPr>
        <w:ind w:firstLine="720"/>
        <w:rPr>
          <w:rFonts w:ascii="Garamond" w:hAnsi="Garamond"/>
          <w:sz w:val="24"/>
        </w:rPr>
      </w:pPr>
      <w:r>
        <w:rPr>
          <w:rFonts w:ascii="Garamond" w:hAnsi="Garamond"/>
          <w:sz w:val="24"/>
        </w:rPr>
        <w:t xml:space="preserve">180 – </w:t>
      </w:r>
      <w:proofErr w:type="gramStart"/>
      <w:r>
        <w:rPr>
          <w:rFonts w:ascii="Garamond" w:hAnsi="Garamond"/>
          <w:sz w:val="24"/>
        </w:rPr>
        <w:t>a</w:t>
      </w:r>
      <w:proofErr w:type="gramEnd"/>
      <w:r>
        <w:rPr>
          <w:rFonts w:ascii="Garamond" w:hAnsi="Garamond"/>
          <w:sz w:val="24"/>
        </w:rPr>
        <w:t xml:space="preserve"> caffeinated, carbonated energy drink </w:t>
      </w:r>
    </w:p>
    <w:p w:rsidR="002F1A8C" w:rsidRDefault="002F1A8C">
      <w:pPr>
        <w:pStyle w:val="Footer"/>
        <w:tabs>
          <w:tab w:val="clear" w:pos="4320"/>
          <w:tab w:val="clear" w:pos="8640"/>
        </w:tabs>
        <w:rPr>
          <w:rFonts w:ascii="Garamond" w:hAnsi="Garamond"/>
        </w:rPr>
      </w:pPr>
    </w:p>
    <w:p w:rsidR="002F1A8C" w:rsidRDefault="002F1A8C">
      <w:pPr>
        <w:pStyle w:val="Heading1"/>
        <w:rPr>
          <w:rFonts w:ascii="Garamond" w:hAnsi="Garamond"/>
        </w:rPr>
      </w:pPr>
      <w:r>
        <w:rPr>
          <w:rFonts w:ascii="Garamond" w:hAnsi="Garamond"/>
        </w:rPr>
        <w:lastRenderedPageBreak/>
        <w:t>Theme Parks</w:t>
      </w:r>
    </w:p>
    <w:p w:rsidR="002F1A8C" w:rsidRDefault="002F1A8C">
      <w:pPr>
        <w:ind w:left="1440" w:hanging="720"/>
        <w:rPr>
          <w:rFonts w:ascii="Garamond" w:hAnsi="Garamond"/>
          <w:sz w:val="24"/>
        </w:rPr>
      </w:pPr>
      <w:smartTag w:uri="urn:schemas-microsoft-com:office:smarttags" w:element="PlaceName">
        <w:r>
          <w:rPr>
            <w:rFonts w:ascii="Garamond" w:hAnsi="Garamond"/>
            <w:sz w:val="24"/>
          </w:rPr>
          <w:t>Busch</w:t>
        </w:r>
      </w:smartTag>
      <w:r>
        <w:rPr>
          <w:rFonts w:ascii="Garamond" w:hAnsi="Garamond"/>
          <w:sz w:val="24"/>
        </w:rPr>
        <w:t xml:space="preserve"> </w:t>
      </w:r>
      <w:smartTag w:uri="urn:schemas-microsoft-com:office:smarttags" w:element="PlaceType">
        <w:r>
          <w:rPr>
            <w:rFonts w:ascii="Garamond" w:hAnsi="Garamond"/>
            <w:sz w:val="24"/>
          </w:rPr>
          <w:t>Gardens</w:t>
        </w:r>
      </w:smartTag>
      <w:r>
        <w:rPr>
          <w:rFonts w:ascii="Garamond" w:hAnsi="Garamond"/>
          <w:sz w:val="24"/>
        </w:rPr>
        <w:t xml:space="preserve"> – this amusement park opened in </w:t>
      </w:r>
      <w:smartTag w:uri="urn:schemas-microsoft-com:office:smarttags" w:element="place">
        <w:smartTag w:uri="urn:schemas-microsoft-com:office:smarttags" w:element="City">
          <w:r>
            <w:rPr>
              <w:rFonts w:ascii="Garamond" w:hAnsi="Garamond"/>
              <w:sz w:val="24"/>
            </w:rPr>
            <w:t>Tampa</w:t>
          </w:r>
        </w:smartTag>
        <w:r>
          <w:rPr>
            <w:rFonts w:ascii="Garamond" w:hAnsi="Garamond"/>
            <w:sz w:val="24"/>
          </w:rPr>
          <w:t xml:space="preserve">, </w:t>
        </w:r>
        <w:smartTag w:uri="urn:schemas-microsoft-com:office:smarttags" w:element="State">
          <w:r>
            <w:rPr>
              <w:rFonts w:ascii="Garamond" w:hAnsi="Garamond"/>
              <w:sz w:val="24"/>
            </w:rPr>
            <w:t>Florida</w:t>
          </w:r>
        </w:smartTag>
      </w:smartTag>
      <w:r>
        <w:rPr>
          <w:rFonts w:ascii="Garamond" w:hAnsi="Garamond"/>
          <w:sz w:val="24"/>
        </w:rPr>
        <w:t xml:space="preserve"> in 1959. Currently another park in </w:t>
      </w:r>
      <w:proofErr w:type="spellStart"/>
      <w:smartTag w:uri="urn:schemas-microsoft-com:office:smarttags" w:element="place">
        <w:smartTag w:uri="urn:schemas-microsoft-com:office:smarttags" w:element="City">
          <w:r>
            <w:rPr>
              <w:rFonts w:ascii="Garamond" w:hAnsi="Garamond"/>
              <w:sz w:val="24"/>
            </w:rPr>
            <w:t>Williamburg</w:t>
          </w:r>
        </w:smartTag>
        <w:proofErr w:type="spellEnd"/>
        <w:r>
          <w:rPr>
            <w:rFonts w:ascii="Garamond" w:hAnsi="Garamond"/>
            <w:sz w:val="24"/>
          </w:rPr>
          <w:t xml:space="preserve">, </w:t>
        </w:r>
        <w:smartTag w:uri="urn:schemas-microsoft-com:office:smarttags" w:element="State">
          <w:r>
            <w:rPr>
              <w:rFonts w:ascii="Garamond" w:hAnsi="Garamond"/>
              <w:sz w:val="24"/>
            </w:rPr>
            <w:t>Virginia</w:t>
          </w:r>
        </w:smartTag>
      </w:smartTag>
    </w:p>
    <w:p w:rsidR="002F1A8C" w:rsidRDefault="002F1A8C">
      <w:pPr>
        <w:ind w:left="1440" w:hanging="720"/>
        <w:rPr>
          <w:rFonts w:ascii="Garamond" w:hAnsi="Garamond"/>
          <w:sz w:val="24"/>
        </w:rPr>
      </w:pPr>
      <w:smartTag w:uri="urn:schemas-microsoft-com:office:smarttags" w:element="PlaceName">
        <w:r>
          <w:rPr>
            <w:rFonts w:ascii="Garamond" w:hAnsi="Garamond"/>
            <w:sz w:val="24"/>
          </w:rPr>
          <w:t>Adventure</w:t>
        </w:r>
      </w:smartTag>
      <w:r>
        <w:rPr>
          <w:rFonts w:ascii="Garamond" w:hAnsi="Garamond"/>
          <w:sz w:val="24"/>
        </w:rPr>
        <w:t xml:space="preserve"> </w:t>
      </w:r>
      <w:smartTag w:uri="urn:schemas-microsoft-com:office:smarttags" w:element="PlaceType">
        <w:r>
          <w:rPr>
            <w:rFonts w:ascii="Garamond" w:hAnsi="Garamond"/>
            <w:sz w:val="24"/>
          </w:rPr>
          <w:t>Island</w:t>
        </w:r>
      </w:smartTag>
      <w:r>
        <w:rPr>
          <w:rFonts w:ascii="Garamond" w:hAnsi="Garamond"/>
          <w:sz w:val="24"/>
        </w:rPr>
        <w:t xml:space="preserve"> – a water park in </w:t>
      </w:r>
      <w:smartTag w:uri="urn:schemas-microsoft-com:office:smarttags" w:element="place">
        <w:smartTag w:uri="urn:schemas-microsoft-com:office:smarttags" w:element="City">
          <w:r>
            <w:rPr>
              <w:rFonts w:ascii="Garamond" w:hAnsi="Garamond"/>
              <w:sz w:val="24"/>
            </w:rPr>
            <w:t>Tampa</w:t>
          </w:r>
        </w:smartTag>
      </w:smartTag>
    </w:p>
    <w:p w:rsidR="002F1A8C" w:rsidRDefault="002F1A8C">
      <w:pPr>
        <w:ind w:left="1440" w:hanging="720"/>
        <w:rPr>
          <w:rFonts w:ascii="Garamond" w:hAnsi="Garamond"/>
          <w:sz w:val="24"/>
        </w:rPr>
      </w:pPr>
      <w:r>
        <w:rPr>
          <w:rFonts w:ascii="Garamond" w:hAnsi="Garamond"/>
          <w:sz w:val="24"/>
        </w:rPr>
        <w:t xml:space="preserve">Discovery Cove – </w:t>
      </w:r>
      <w:proofErr w:type="gramStart"/>
      <w:r>
        <w:rPr>
          <w:rFonts w:ascii="Garamond" w:hAnsi="Garamond"/>
          <w:sz w:val="24"/>
        </w:rPr>
        <w:t>animal park</w:t>
      </w:r>
      <w:proofErr w:type="gramEnd"/>
      <w:r>
        <w:rPr>
          <w:rFonts w:ascii="Garamond" w:hAnsi="Garamond"/>
          <w:sz w:val="24"/>
        </w:rPr>
        <w:t xml:space="preserve"> in </w:t>
      </w:r>
      <w:smartTag w:uri="urn:schemas-microsoft-com:office:smarttags" w:element="place">
        <w:smartTag w:uri="urn:schemas-microsoft-com:office:smarttags" w:element="City">
          <w:r>
            <w:rPr>
              <w:rFonts w:ascii="Garamond" w:hAnsi="Garamond"/>
              <w:sz w:val="24"/>
            </w:rPr>
            <w:t>Orlando</w:t>
          </w:r>
        </w:smartTag>
      </w:smartTag>
      <w:r>
        <w:rPr>
          <w:rFonts w:ascii="Garamond" w:hAnsi="Garamond"/>
          <w:sz w:val="24"/>
        </w:rPr>
        <w:t xml:space="preserve">. </w:t>
      </w:r>
    </w:p>
    <w:p w:rsidR="002F1A8C" w:rsidRDefault="002F1A8C">
      <w:pPr>
        <w:ind w:left="1440" w:hanging="720"/>
        <w:rPr>
          <w:rFonts w:ascii="Garamond" w:hAnsi="Garamond"/>
          <w:sz w:val="24"/>
        </w:rPr>
      </w:pPr>
      <w:r>
        <w:rPr>
          <w:rFonts w:ascii="Garamond" w:hAnsi="Garamond"/>
          <w:sz w:val="24"/>
        </w:rPr>
        <w:t xml:space="preserve">Sea World – “marine adventure parks” located in </w:t>
      </w:r>
      <w:smartTag w:uri="urn:schemas-microsoft-com:office:smarttags" w:element="City">
        <w:r>
          <w:rPr>
            <w:rFonts w:ascii="Garamond" w:hAnsi="Garamond"/>
            <w:sz w:val="24"/>
          </w:rPr>
          <w:t>Orlando</w:t>
        </w:r>
      </w:smartTag>
      <w:r>
        <w:rPr>
          <w:rFonts w:ascii="Garamond" w:hAnsi="Garamond"/>
          <w:sz w:val="24"/>
        </w:rPr>
        <w:t xml:space="preserve">, </w:t>
      </w:r>
      <w:smartTag w:uri="urn:schemas-microsoft-com:office:smarttags" w:element="City">
        <w:r>
          <w:rPr>
            <w:rFonts w:ascii="Garamond" w:hAnsi="Garamond"/>
            <w:sz w:val="24"/>
          </w:rPr>
          <w:t>San Antonio</w:t>
        </w:r>
      </w:smartTag>
      <w:r>
        <w:rPr>
          <w:rFonts w:ascii="Garamond" w:hAnsi="Garamond"/>
          <w:sz w:val="24"/>
        </w:rPr>
        <w:t xml:space="preserve">, and </w:t>
      </w:r>
      <w:r>
        <w:rPr>
          <w:rFonts w:ascii="Garamond" w:hAnsi="Garamond"/>
          <w:sz w:val="24"/>
        </w:rPr>
        <w:br/>
      </w:r>
      <w:smartTag w:uri="urn:schemas-microsoft-com:office:smarttags" w:element="place">
        <w:smartTag w:uri="urn:schemas-microsoft-com:office:smarttags" w:element="City">
          <w:r>
            <w:rPr>
              <w:rFonts w:ascii="Garamond" w:hAnsi="Garamond"/>
              <w:sz w:val="24"/>
            </w:rPr>
            <w:t>San Diego</w:t>
          </w:r>
        </w:smartTag>
      </w:smartTag>
    </w:p>
    <w:p w:rsidR="002F1A8C" w:rsidRDefault="002F1A8C">
      <w:pPr>
        <w:ind w:left="1440" w:hanging="720"/>
        <w:rPr>
          <w:rFonts w:ascii="Garamond" w:hAnsi="Garamond"/>
          <w:sz w:val="24"/>
        </w:rPr>
      </w:pPr>
      <w:r>
        <w:rPr>
          <w:rFonts w:ascii="Garamond" w:hAnsi="Garamond"/>
          <w:sz w:val="24"/>
        </w:rPr>
        <w:t xml:space="preserve">Sesame Place – a </w:t>
      </w:r>
      <w:smartTag w:uri="urn:schemas-microsoft-com:office:smarttags" w:element="Street">
        <w:smartTag w:uri="urn:schemas-microsoft-com:office:smarttags" w:element="address">
          <w:r>
            <w:rPr>
              <w:rFonts w:ascii="Garamond" w:hAnsi="Garamond"/>
              <w:sz w:val="24"/>
            </w:rPr>
            <w:t>Sesame Street</w:t>
          </w:r>
        </w:smartTag>
      </w:smartTag>
      <w:r>
        <w:rPr>
          <w:rFonts w:ascii="Garamond" w:hAnsi="Garamond"/>
          <w:sz w:val="24"/>
        </w:rPr>
        <w:t xml:space="preserve"> themed park in </w:t>
      </w:r>
      <w:smartTag w:uri="urn:schemas-microsoft-com:office:smarttags" w:element="place">
        <w:smartTag w:uri="urn:schemas-microsoft-com:office:smarttags" w:element="City">
          <w:r>
            <w:rPr>
              <w:rFonts w:ascii="Garamond" w:hAnsi="Garamond"/>
              <w:sz w:val="24"/>
            </w:rPr>
            <w:t>Langhorne</w:t>
          </w:r>
        </w:smartTag>
        <w:r>
          <w:rPr>
            <w:rFonts w:ascii="Garamond" w:hAnsi="Garamond"/>
            <w:sz w:val="24"/>
          </w:rPr>
          <w:t xml:space="preserve">, </w:t>
        </w:r>
        <w:smartTag w:uri="urn:schemas-microsoft-com:office:smarttags" w:element="State">
          <w:r>
            <w:rPr>
              <w:rFonts w:ascii="Garamond" w:hAnsi="Garamond"/>
              <w:sz w:val="24"/>
            </w:rPr>
            <w:t>Pennsylvania</w:t>
          </w:r>
        </w:smartTag>
      </w:smartTag>
    </w:p>
    <w:p w:rsidR="002F1A8C" w:rsidRDefault="002F1A8C">
      <w:pPr>
        <w:pStyle w:val="Footer"/>
        <w:tabs>
          <w:tab w:val="clear" w:pos="4320"/>
          <w:tab w:val="clear" w:pos="8640"/>
        </w:tabs>
        <w:rPr>
          <w:rFonts w:ascii="Garamond" w:hAnsi="Garamond"/>
        </w:rPr>
      </w:pPr>
    </w:p>
    <w:p w:rsidR="002F1A8C" w:rsidRDefault="002F1A8C">
      <w:pPr>
        <w:rPr>
          <w:rFonts w:ascii="Garamond" w:hAnsi="Garamond"/>
          <w:b/>
          <w:i/>
          <w:sz w:val="24"/>
        </w:rPr>
      </w:pPr>
      <w:r>
        <w:rPr>
          <w:rFonts w:ascii="Garamond" w:hAnsi="Garamond"/>
          <w:b/>
          <w:i/>
          <w:sz w:val="24"/>
        </w:rPr>
        <w:t>Marketing the Flagship Beer</w:t>
      </w:r>
    </w:p>
    <w:p w:rsidR="002F1A8C" w:rsidRDefault="002F1A8C">
      <w:pPr>
        <w:pStyle w:val="BodyTextIndent"/>
        <w:spacing w:before="0"/>
        <w:ind w:left="0" w:firstLine="0"/>
      </w:pPr>
      <w:r>
        <w:t xml:space="preserve">Anheuser-Busch has earned a reputation as an expert marketer, due in large part to its success with the flagship Budweiser brand.  Budweiser receives much of the marketing support and attention from the company.  Of the $396 million Anheuser-Busch spent on measured media in 2000, $146 million was spent on Budweiser, compared with $107 million for Bud Light.  Advertising for Budweiser falls into one of three categories: 1) ads emphasizing product quality and heritage (using ancestors of the founders and current company heads August Busch III and his son), 2) ads focusing on social responsibility, and 3) ads designed to humor and entertain the audience.  </w:t>
      </w:r>
    </w:p>
    <w:p w:rsidR="002F1A8C" w:rsidRDefault="002F1A8C">
      <w:pPr>
        <w:pStyle w:val="BodyTextIndent"/>
        <w:spacing w:before="0"/>
        <w:ind w:left="0" w:firstLine="0"/>
      </w:pPr>
    </w:p>
    <w:p w:rsidR="002F1A8C" w:rsidRDefault="002F1A8C">
      <w:pPr>
        <w:pStyle w:val="BodyTextIndent"/>
        <w:spacing w:before="0"/>
        <w:ind w:left="0" w:firstLine="0"/>
      </w:pPr>
      <w:r>
        <w:t>With this segmented approach, Budweiser is able to reach a broad audience base.  One marketing analyst recently proclaimed that “Budweiser, originally the beer of choice for blue-collar workers, is now beer for all demographics.”  Anheuser-Busch conducts extensive and sophisticated market research in order to develop advertising that resonates with target markets.  It is no surprise, then, that advertising for Budweiser routinely garners both critical and audience acclaim, and is credited for much of the brand’s success.  One of Budweiser’s most popular campaigns in recent years – the “</w:t>
      </w:r>
      <w:proofErr w:type="spellStart"/>
      <w:r>
        <w:t>Whassup</w:t>
      </w:r>
      <w:proofErr w:type="spellEnd"/>
      <w:r>
        <w:t>?!” series – earned the company top honors during the Super Bowl ad frenzy, and spawned a host of Internet parodies and television spoofs.  This campaign followed on the heels of the equally well-received “frogs and lizards” ads.</w:t>
      </w:r>
    </w:p>
    <w:p w:rsidR="002F1A8C" w:rsidRDefault="002F1A8C">
      <w:pPr>
        <w:pStyle w:val="BodyTextIndent"/>
        <w:spacing w:before="0"/>
        <w:ind w:left="0" w:firstLine="0"/>
      </w:pPr>
    </w:p>
    <w:p w:rsidR="002F1A8C" w:rsidRDefault="002F1A8C">
      <w:pPr>
        <w:pStyle w:val="BodyTextIndent"/>
        <w:spacing w:before="0"/>
        <w:ind w:left="0" w:firstLine="0"/>
      </w:pPr>
      <w:r>
        <w:t xml:space="preserve">Anheuser-Busch moved to the Internet and launched Budweiser.com in 1996.  The site offers information about the brand, company history, information about sporting events sponsored by Budweiser, downloads such as screensavers and television ads, and free e-mail addresses ending in Budweiser.com.  During the first two months of 2001, Budweiser.com received almost 2 million more average monthly page visits than similar sites from Miller, Heineken, and Coors.  In addition to these effective pull strategies, Anheuser-Busch uses various push strategies in retail outlets to help sell beer, from price cuts to instant-win packaging to in-store promotions.  Since summer is the peak season for Budweiser, Anheuser Busch steps up its push strategies with its annual Bud Summer promotions. </w:t>
      </w:r>
    </w:p>
    <w:p w:rsidR="002F1A8C" w:rsidRDefault="002F1A8C">
      <w:pPr>
        <w:pStyle w:val="BodyTextIndent"/>
        <w:spacing w:before="0"/>
        <w:ind w:left="0" w:firstLine="0"/>
      </w:pPr>
    </w:p>
    <w:p w:rsidR="002F1A8C" w:rsidRDefault="002F1A8C">
      <w:pPr>
        <w:pStyle w:val="BodyTextIndent"/>
        <w:spacing w:before="0"/>
        <w:ind w:left="0" w:firstLine="0"/>
        <w:rPr>
          <w:b/>
          <w:i/>
        </w:rPr>
      </w:pPr>
      <w:r>
        <w:rPr>
          <w:b/>
          <w:i/>
        </w:rPr>
        <w:t>Anheuser-Busch Looks Ahead</w:t>
      </w:r>
    </w:p>
    <w:p w:rsidR="002F1A8C" w:rsidRDefault="002F1A8C">
      <w:pPr>
        <w:pStyle w:val="BodyTextIndent"/>
        <w:spacing w:before="0"/>
        <w:ind w:left="0" w:firstLine="0"/>
      </w:pPr>
      <w:r>
        <w:t xml:space="preserve">As Anheuser-Busch continues to expand, it will need new products to attract new drinkers. The company is introducing a new super-premium beer, Budweiser Red Label, using its flagship Budweiser brand as a launch pad.  The company hopes the extension will attract import drinkers without alienating Budweiser purists.  Other recent new products, including 180 energy drink and </w:t>
      </w:r>
      <w:proofErr w:type="spellStart"/>
      <w:r>
        <w:t>Tequiza</w:t>
      </w:r>
      <w:proofErr w:type="spellEnd"/>
      <w:r>
        <w:t xml:space="preserve"> beer, have not been that successful.  Still, Anheuser-Busch continued to set earnings records in fiscal 2001, and the strength of its continually evolving </w:t>
      </w:r>
      <w:r>
        <w:lastRenderedPageBreak/>
        <w:t xml:space="preserve">brand portfolio continued to prove itself as the company gained market share at the expense of its competitors.      </w:t>
      </w:r>
    </w:p>
    <w:p w:rsidR="002F1A8C" w:rsidRDefault="002F1A8C">
      <w:pPr>
        <w:jc w:val="center"/>
        <w:rPr>
          <w:rFonts w:ascii="Garamond" w:hAnsi="Garamond"/>
          <w:b/>
          <w:i/>
          <w:caps/>
          <w:sz w:val="24"/>
        </w:rPr>
      </w:pPr>
    </w:p>
    <w:p w:rsidR="002F1A8C" w:rsidRDefault="002F1A8C">
      <w:pPr>
        <w:jc w:val="center"/>
        <w:rPr>
          <w:rFonts w:ascii="Garamond" w:hAnsi="Garamond"/>
          <w:b/>
          <w:i/>
          <w:caps/>
          <w:sz w:val="24"/>
        </w:rPr>
      </w:pPr>
    </w:p>
    <w:p w:rsidR="002F1A8C" w:rsidRDefault="002F1A8C">
      <w:pPr>
        <w:jc w:val="center"/>
        <w:rPr>
          <w:rFonts w:ascii="Garamond" w:hAnsi="Garamond"/>
          <w:b/>
          <w:i/>
          <w:caps/>
          <w:sz w:val="24"/>
        </w:rPr>
      </w:pPr>
    </w:p>
    <w:p w:rsidR="002F1A8C" w:rsidRDefault="002F1A8C">
      <w:pPr>
        <w:jc w:val="center"/>
        <w:rPr>
          <w:rFonts w:ascii="Garamond" w:hAnsi="Garamond"/>
          <w:b/>
          <w:i/>
          <w:caps/>
          <w:sz w:val="24"/>
        </w:rPr>
      </w:pPr>
    </w:p>
    <w:p w:rsidR="002F1A8C" w:rsidRDefault="00A2003E">
      <w:pPr>
        <w:jc w:val="center"/>
        <w:rPr>
          <w:rFonts w:ascii="Garamond" w:hAnsi="Garamond"/>
          <w:b/>
          <w:i/>
          <w:caps/>
          <w:sz w:val="24"/>
        </w:rPr>
      </w:pPr>
      <w:r>
        <w:rPr>
          <w:rFonts w:ascii="Garamond" w:hAnsi="Garamond"/>
          <w:b/>
          <w:i/>
          <w:caps/>
          <w:sz w:val="24"/>
        </w:rPr>
        <w:t>Branding Brief 13-13</w:t>
      </w:r>
    </w:p>
    <w:p w:rsidR="002F1A8C" w:rsidRDefault="002F1A8C">
      <w:pPr>
        <w:jc w:val="center"/>
        <w:rPr>
          <w:rFonts w:ascii="Garamond" w:hAnsi="Garamond"/>
          <w:b/>
          <w:caps/>
          <w:sz w:val="24"/>
        </w:rPr>
      </w:pPr>
      <w:r>
        <w:rPr>
          <w:rFonts w:ascii="Garamond" w:hAnsi="Garamond"/>
          <w:b/>
          <w:i/>
          <w:caps/>
          <w:sz w:val="24"/>
        </w:rPr>
        <w:t>reinventing corning … again</w:t>
      </w:r>
      <w:r>
        <w:rPr>
          <w:rStyle w:val="FootnoteReference"/>
          <w:rFonts w:ascii="Garamond" w:hAnsi="Garamond"/>
          <w:b/>
          <w:i/>
          <w:caps/>
          <w:sz w:val="24"/>
        </w:rPr>
        <w:footnoteReference w:id="2"/>
      </w:r>
    </w:p>
    <w:p w:rsidR="002F1A8C" w:rsidRDefault="002F1A8C">
      <w:pPr>
        <w:rPr>
          <w:rFonts w:ascii="Garamond" w:hAnsi="Garamond"/>
          <w:sz w:val="24"/>
        </w:rPr>
      </w:pPr>
    </w:p>
    <w:p w:rsidR="002F1A8C" w:rsidRDefault="002F1A8C">
      <w:pPr>
        <w:rPr>
          <w:rFonts w:ascii="Garamond" w:hAnsi="Garamond"/>
          <w:sz w:val="24"/>
        </w:rPr>
      </w:pPr>
    </w:p>
    <w:p w:rsidR="002F1A8C" w:rsidRDefault="002F1A8C">
      <w:pPr>
        <w:rPr>
          <w:rFonts w:ascii="Garamond" w:hAnsi="Garamond"/>
          <w:sz w:val="24"/>
        </w:rPr>
      </w:pP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has a history of reinventing itself.  The company, founded in 1851, started as a glassworks in </w:t>
      </w:r>
      <w:smartTag w:uri="urn:schemas-microsoft-com:office:smarttags" w:element="place">
        <w:smartTag w:uri="urn:schemas-microsoft-com:office:smarttags" w:element="City">
          <w:r>
            <w:rPr>
              <w:rFonts w:ascii="Garamond" w:hAnsi="Garamond"/>
              <w:sz w:val="24"/>
            </w:rPr>
            <w:t>Cambridge</w:t>
          </w:r>
        </w:smartTag>
        <w:r>
          <w:rPr>
            <w:rFonts w:ascii="Garamond" w:hAnsi="Garamond"/>
            <w:sz w:val="24"/>
          </w:rPr>
          <w:t xml:space="preserve">, </w:t>
        </w:r>
        <w:smartTag w:uri="urn:schemas-microsoft-com:office:smarttags" w:element="State">
          <w:r>
            <w:rPr>
              <w:rFonts w:ascii="Garamond" w:hAnsi="Garamond"/>
              <w:sz w:val="24"/>
            </w:rPr>
            <w:t>Massachusetts</w:t>
          </w:r>
        </w:smartTag>
      </w:smartTag>
      <w:r>
        <w:rPr>
          <w:rFonts w:ascii="Garamond" w:hAnsi="Garamond"/>
          <w:sz w:val="24"/>
        </w:rPr>
        <w:t xml:space="preserve">.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supplied glass for the light bulbs manufactured by Thomas Edison’s General Electric.  Later, it made cathode-ray tubes for television sets.  In the 1950s,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became a household name for its ceramic housewares.  Richard Foster, a McKinsey partner, said:</w:t>
      </w:r>
    </w:p>
    <w:p w:rsidR="002F1A8C" w:rsidRDefault="002F1A8C">
      <w:pPr>
        <w:pStyle w:val="BodyTextIndent3"/>
        <w:spacing w:before="120"/>
        <w:ind w:left="720"/>
        <w:rPr>
          <w:rFonts w:ascii="Garamond" w:hAnsi="Garamond"/>
        </w:rPr>
      </w:pPr>
      <w:r>
        <w:rPr>
          <w:rFonts w:ascii="Garamond" w:hAnsi="Garamond"/>
        </w:rPr>
        <w:t xml:space="preserve">“If any company has a long-term claim on [reinvention], it probably Corning.  They’ve been through five or six major transitions.” </w:t>
      </w:r>
    </w:p>
    <w:p w:rsidR="002F1A8C" w:rsidRDefault="002F1A8C">
      <w:pPr>
        <w:pStyle w:val="BodyTextIndent2"/>
        <w:spacing w:before="240"/>
        <w:rPr>
          <w:rFonts w:ascii="Garamond" w:hAnsi="Garamond"/>
        </w:rPr>
      </w:pPr>
      <w:smartTag w:uri="urn:schemas-microsoft-com:office:smarttags" w:element="place">
        <w:smartTag w:uri="urn:schemas-microsoft-com:office:smarttags" w:element="City">
          <w:r>
            <w:rPr>
              <w:rFonts w:ascii="Garamond" w:hAnsi="Garamond"/>
            </w:rPr>
            <w:t>Corning</w:t>
          </w:r>
        </w:smartTag>
      </w:smartTag>
      <w:r>
        <w:rPr>
          <w:rFonts w:ascii="Garamond" w:hAnsi="Garamond"/>
        </w:rPr>
        <w:t xml:space="preserve"> began selling off its consumer products businesses in the 1990s.  Consumer products were no longer driving the company’s sales: housewares contributed around 15 percent of revenues in the mid-1990s.  In 1998, </w:t>
      </w:r>
      <w:smartTag w:uri="urn:schemas-microsoft-com:office:smarttags" w:element="place">
        <w:smartTag w:uri="urn:schemas-microsoft-com:office:smarttags" w:element="City">
          <w:r>
            <w:rPr>
              <w:rFonts w:ascii="Garamond" w:hAnsi="Garamond"/>
            </w:rPr>
            <w:t>Corning</w:t>
          </w:r>
        </w:smartTag>
      </w:smartTag>
      <w:r>
        <w:rPr>
          <w:rFonts w:ascii="Garamond" w:hAnsi="Garamond"/>
        </w:rPr>
        <w:t xml:space="preserve"> finalized the sale of its consumer division to a Wall Street investment firm.  Corning instead began to focus on three major technology markets: telecommunications, advanced materials, and information display.  These high-technology products also provided the company with high profit margins. </w:t>
      </w:r>
    </w:p>
    <w:p w:rsidR="002F1A8C" w:rsidRDefault="002F1A8C">
      <w:pPr>
        <w:rPr>
          <w:rFonts w:ascii="Garamond" w:hAnsi="Garamond"/>
          <w:sz w:val="24"/>
        </w:rPr>
      </w:pPr>
    </w:p>
    <w:p w:rsidR="002F1A8C" w:rsidRDefault="002F1A8C">
      <w:pPr>
        <w:rPr>
          <w:rFonts w:ascii="Garamond" w:hAnsi="Garamond"/>
          <w:sz w:val="24"/>
        </w:rPr>
      </w:pPr>
      <w:r>
        <w:rPr>
          <w:rFonts w:ascii="Garamond" w:hAnsi="Garamond"/>
          <w:sz w:val="24"/>
        </w:rPr>
        <w:t xml:space="preserve">Corning rapidly established itself as the leading provider of fiber optic cable, which was in high demand by telecommunications firms looking to expand bandwidth during the tech boom in the mid-1990s.  In 1999, the company produced 40 percent of the world’s optical fiber, and its supply was sold out in advance for two years.  Sales of optical fiber contribute 40 percent of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’s total 2000 revenue of $7.1 billion.  </w:t>
      </w:r>
    </w:p>
    <w:p w:rsidR="002F1A8C" w:rsidRDefault="002F1A8C">
      <w:pPr>
        <w:rPr>
          <w:rFonts w:ascii="Garamond" w:hAnsi="Garamond"/>
          <w:sz w:val="24"/>
        </w:rPr>
      </w:pPr>
    </w:p>
    <w:p w:rsidR="002F1A8C" w:rsidRDefault="002F1A8C">
      <w:pPr>
        <w:pStyle w:val="BodyText2"/>
        <w:tabs>
          <w:tab w:val="clear" w:pos="360"/>
        </w:tabs>
      </w:pPr>
      <w:r>
        <w:t xml:space="preserve">To keep up with the rapid pace of technological change, </w:t>
      </w:r>
      <w:smartTag w:uri="urn:schemas-microsoft-com:office:smarttags" w:element="place">
        <w:smartTag w:uri="urn:schemas-microsoft-com:office:smarttags" w:element="City">
          <w:r>
            <w:t>Corning</w:t>
          </w:r>
        </w:smartTag>
      </w:smartTag>
      <w:r>
        <w:t xml:space="preserve"> invests heavily in research and development.  </w:t>
      </w:r>
      <w:smartTag w:uri="urn:schemas-microsoft-com:office:smarttags" w:element="place">
        <w:smartTag w:uri="urn:schemas-microsoft-com:office:smarttags" w:element="City">
          <w:r>
            <w:t>Corning</w:t>
          </w:r>
        </w:smartTag>
      </w:smartTag>
      <w:r>
        <w:t xml:space="preserve"> spent $675 million – roughly eight percent of sales – on research and development in 2001.  CEO John Loose said “When it comes to development of new fibers, R&amp;D has a blank check.”  This dedication to innovation is reflected in the fact that eighty-four percent of </w:t>
      </w:r>
      <w:smartTag w:uri="urn:schemas-microsoft-com:office:smarttags" w:element="place">
        <w:smartTag w:uri="urn:schemas-microsoft-com:office:smarttags" w:element="City">
          <w:r>
            <w:t>Corning</w:t>
          </w:r>
        </w:smartTag>
      </w:smartTag>
      <w:r>
        <w:t>’s products sold in 2000 were introduced within the previous four years.</w:t>
      </w:r>
    </w:p>
    <w:p w:rsidR="002F1A8C" w:rsidRDefault="002F1A8C">
      <w:pPr>
        <w:rPr>
          <w:rFonts w:ascii="Garamond" w:hAnsi="Garamond"/>
          <w:sz w:val="24"/>
        </w:rPr>
      </w:pPr>
      <w:r>
        <w:rPr>
          <w:rFonts w:ascii="Garamond" w:hAnsi="Garamond"/>
          <w:sz w:val="24"/>
        </w:rPr>
        <w:t xml:space="preserve">   </w:t>
      </w:r>
    </w:p>
    <w:p w:rsidR="002F1A8C" w:rsidRDefault="002F1A8C">
      <w:pPr>
        <w:tabs>
          <w:tab w:val="left" w:pos="360"/>
        </w:tabs>
        <w:rPr>
          <w:rFonts w:ascii="Times New Roman" w:hAnsi="Times New Roman"/>
          <w:sz w:val="24"/>
        </w:rPr>
      </w:pP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was profitable during the first year of the dot-com crash due to limited supply.  As the economy worsened and the telecommunications sector experienced massive profit declines resulting from overproduction, however,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’s share price plummeted from a high of $113 in September 2000 to under $10 a year later.  John Loose,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’s CEO, said </w:t>
      </w:r>
      <w:r>
        <w:rPr>
          <w:rFonts w:ascii="Garamond" w:hAnsi="Garamond"/>
          <w:sz w:val="24"/>
        </w:rPr>
        <w:lastRenderedPageBreak/>
        <w:t xml:space="preserve">“Our assumption was that bandwidth in the telecommunications business would grow exponentially into the future.”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responded to the downturn by reconnecting with smaller customers it was unable to serve during the big fiber optic boom and filling back orders.  The company continued to push ahead with its innovation strategy by developing new optical fibers that can carry more data over longer distances.  Additionally, </w:t>
      </w:r>
      <w:smartTag w:uri="urn:schemas-microsoft-com:office:smarttags" w:element="place">
        <w:smartTag w:uri="urn:schemas-microsoft-com:office:smarttags" w:element="City">
          <w:r>
            <w:rPr>
              <w:rFonts w:ascii="Garamond" w:hAnsi="Garamond"/>
              <w:sz w:val="24"/>
            </w:rPr>
            <w:t>Corning</w:t>
          </w:r>
        </w:smartTag>
      </w:smartTag>
      <w:r>
        <w:rPr>
          <w:rFonts w:ascii="Garamond" w:hAnsi="Garamond"/>
          <w:sz w:val="24"/>
        </w:rPr>
        <w:t xml:space="preserve"> aimed for a big piece of the household high-bandwidth market as it developed.</w:t>
      </w:r>
      <w:bookmarkStart w:id="0" w:name="_GoBack"/>
      <w:bookmarkEnd w:id="0"/>
    </w:p>
    <w:sectPr w:rsidR="002F1A8C" w:rsidSect="00776BBA">
      <w:headerReference w:type="even" r:id="rId8"/>
      <w:footerReference w:type="even" r:id="rId9"/>
      <w:footerReference w:type="default" r:id="rId10"/>
      <w:pgSz w:w="12240" w:h="15840"/>
      <w:pgMar w:top="1440" w:right="1800" w:bottom="1440" w:left="1800" w:header="720" w:footer="720" w:gutter="0"/>
      <w:pgNumType w:start="6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BB3" w:rsidRDefault="00BF6BB3">
      <w:r>
        <w:separator/>
      </w:r>
    </w:p>
  </w:endnote>
  <w:endnote w:type="continuationSeparator" w:id="0">
    <w:p w:rsidR="00BF6BB3" w:rsidRDefault="00BF6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3E" w:rsidRDefault="00A2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2003E" w:rsidRDefault="00A200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3E" w:rsidRDefault="00A2003E">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603639">
      <w:rPr>
        <w:rStyle w:val="PageNumber"/>
        <w:rFonts w:ascii="Times New Roman" w:hAnsi="Times New Roman"/>
        <w:noProof/>
        <w:sz w:val="24"/>
      </w:rPr>
      <w:t>70</w:t>
    </w:r>
    <w:r>
      <w:rPr>
        <w:rStyle w:val="PageNumber"/>
        <w:rFonts w:ascii="Times New Roman" w:hAnsi="Times New Roman"/>
        <w:sz w:val="24"/>
      </w:rPr>
      <w:fldChar w:fldCharType="end"/>
    </w:r>
  </w:p>
  <w:p w:rsidR="00A2003E" w:rsidRDefault="00A2003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BB3" w:rsidRDefault="00BF6BB3">
      <w:r>
        <w:separator/>
      </w:r>
    </w:p>
  </w:footnote>
  <w:footnote w:type="continuationSeparator" w:id="0">
    <w:p w:rsidR="00BF6BB3" w:rsidRDefault="00BF6BB3">
      <w:r>
        <w:continuationSeparator/>
      </w:r>
    </w:p>
  </w:footnote>
  <w:footnote w:id="1">
    <w:p w:rsidR="00A2003E" w:rsidRDefault="00A2003E">
      <w:pPr>
        <w:rPr>
          <w:rFonts w:ascii="Garamond" w:hAnsi="Garamond"/>
        </w:rPr>
      </w:pPr>
      <w:r>
        <w:rPr>
          <w:rStyle w:val="FootnoteReference"/>
          <w:rFonts w:ascii="Garamond" w:hAnsi="Garamond"/>
        </w:rPr>
        <w:footnoteRef/>
      </w:r>
      <w:r>
        <w:rPr>
          <w:rFonts w:ascii="Garamond" w:hAnsi="Garamond"/>
        </w:rPr>
        <w:t xml:space="preserve"> Al </w:t>
      </w:r>
      <w:proofErr w:type="spellStart"/>
      <w:r>
        <w:rPr>
          <w:rFonts w:ascii="Garamond" w:hAnsi="Garamond"/>
        </w:rPr>
        <w:t>Stamborski</w:t>
      </w:r>
      <w:proofErr w:type="spellEnd"/>
      <w:r>
        <w:rPr>
          <w:rFonts w:ascii="Garamond" w:hAnsi="Garamond"/>
        </w:rPr>
        <w:t xml:space="preserve">. </w:t>
      </w:r>
      <w:proofErr w:type="gramStart"/>
      <w:r>
        <w:rPr>
          <w:rFonts w:ascii="Garamond" w:hAnsi="Garamond"/>
        </w:rPr>
        <w:t>“A-B Looks to Expand Its Horizons.”</w:t>
      </w:r>
      <w:proofErr w:type="gramEnd"/>
      <w:r>
        <w:rPr>
          <w:rFonts w:ascii="Garamond" w:hAnsi="Garamond"/>
        </w:rPr>
        <w:t xml:space="preserve"> </w:t>
      </w:r>
      <w:proofErr w:type="gramStart"/>
      <w:smartTag w:uri="urn:schemas-microsoft-com:office:smarttags" w:element="place">
        <w:smartTag w:uri="urn:schemas-microsoft-com:office:smarttags" w:element="City">
          <w:r>
            <w:rPr>
              <w:rFonts w:ascii="Garamond" w:hAnsi="Garamond"/>
              <w:i/>
            </w:rPr>
            <w:t>St. Louis</w:t>
          </w:r>
        </w:smartTag>
      </w:smartTag>
      <w:r>
        <w:rPr>
          <w:rFonts w:ascii="Garamond" w:hAnsi="Garamond"/>
          <w:i/>
        </w:rPr>
        <w:t xml:space="preserve"> Post-Dispatch</w:t>
      </w:r>
      <w:r>
        <w:rPr>
          <w:rFonts w:ascii="Garamond" w:hAnsi="Garamond"/>
        </w:rPr>
        <w:t xml:space="preserve">, </w:t>
      </w:r>
      <w:smartTag w:uri="urn:schemas-microsoft-com:office:smarttags" w:element="date">
        <w:smartTagPr>
          <w:attr w:name="Year" w:val="2001"/>
          <w:attr w:name="Day" w:val="19"/>
          <w:attr w:name="Month" w:val="2"/>
        </w:smartTagPr>
        <w:r>
          <w:rPr>
            <w:rFonts w:ascii="Garamond" w:hAnsi="Garamond"/>
          </w:rPr>
          <w:t>February 19, 2001</w:t>
        </w:r>
      </w:smartTag>
      <w:r>
        <w:rPr>
          <w:rFonts w:ascii="Garamond" w:hAnsi="Garamond"/>
        </w:rPr>
        <w:t xml:space="preserve">; David A. </w:t>
      </w:r>
      <w:proofErr w:type="spellStart"/>
      <w:r>
        <w:rPr>
          <w:rFonts w:ascii="Garamond" w:hAnsi="Garamond"/>
        </w:rPr>
        <w:t>Aaker</w:t>
      </w:r>
      <w:proofErr w:type="spellEnd"/>
      <w:r>
        <w:rPr>
          <w:rFonts w:ascii="Garamond" w:hAnsi="Garamond"/>
        </w:rPr>
        <w:t>.</w:t>
      </w:r>
      <w:proofErr w:type="gramEnd"/>
      <w:r>
        <w:rPr>
          <w:rFonts w:ascii="Garamond" w:hAnsi="Garamond"/>
        </w:rPr>
        <w:t xml:space="preserve"> </w:t>
      </w:r>
      <w:proofErr w:type="gramStart"/>
      <w:r>
        <w:rPr>
          <w:rFonts w:ascii="Garamond" w:hAnsi="Garamond"/>
          <w:i/>
        </w:rPr>
        <w:t>Managing Brand Equity</w:t>
      </w:r>
      <w:r>
        <w:rPr>
          <w:rFonts w:ascii="Garamond" w:hAnsi="Garamond"/>
        </w:rPr>
        <w:t>.</w:t>
      </w:r>
      <w:proofErr w:type="gramEnd"/>
      <w:r>
        <w:rPr>
          <w:rFonts w:ascii="Garamond" w:hAnsi="Garamond"/>
        </w:rPr>
        <w:t xml:space="preserve"> </w:t>
      </w:r>
      <w:proofErr w:type="gramStart"/>
      <w:r>
        <w:rPr>
          <w:rFonts w:ascii="Garamond" w:hAnsi="Garamond"/>
        </w:rPr>
        <w:t>The Free Press.</w:t>
      </w:r>
      <w:proofErr w:type="gramEnd"/>
      <w:r>
        <w:rPr>
          <w:rFonts w:ascii="Garamond" w:hAnsi="Garamond"/>
        </w:rPr>
        <w:t xml:space="preserve"> </w:t>
      </w:r>
      <w:smartTag w:uri="urn:schemas-microsoft-com:office:smarttags" w:element="place">
        <w:smartTag w:uri="urn:schemas-microsoft-com:office:smarttags" w:element="State">
          <w:r>
            <w:rPr>
              <w:rFonts w:ascii="Garamond" w:hAnsi="Garamond"/>
            </w:rPr>
            <w:t>New York</w:t>
          </w:r>
        </w:smartTag>
      </w:smartTag>
      <w:r>
        <w:rPr>
          <w:rFonts w:ascii="Garamond" w:hAnsi="Garamond"/>
        </w:rPr>
        <w:t xml:space="preserve">: 1991, pp. 78-84; Hillary </w:t>
      </w:r>
      <w:proofErr w:type="spellStart"/>
      <w:r>
        <w:rPr>
          <w:rFonts w:ascii="Garamond" w:hAnsi="Garamond"/>
        </w:rPr>
        <w:t>Chura</w:t>
      </w:r>
      <w:proofErr w:type="spellEnd"/>
      <w:r>
        <w:rPr>
          <w:rFonts w:ascii="Garamond" w:hAnsi="Garamond"/>
        </w:rPr>
        <w:t xml:space="preserve">. “Bud Set to Test Upscale Brew.” </w:t>
      </w:r>
      <w:proofErr w:type="gramStart"/>
      <w:r>
        <w:rPr>
          <w:rFonts w:ascii="Garamond" w:hAnsi="Garamond"/>
          <w:i/>
        </w:rPr>
        <w:t>Advertising Age</w:t>
      </w:r>
      <w:r>
        <w:rPr>
          <w:rFonts w:ascii="Garamond" w:hAnsi="Garamond"/>
        </w:rPr>
        <w:t xml:space="preserve">, </w:t>
      </w:r>
      <w:smartTag w:uri="urn:schemas-microsoft-com:office:smarttags" w:element="date">
        <w:smartTagPr>
          <w:attr w:name="Year" w:val="2001"/>
          <w:attr w:name="Day" w:val="7"/>
          <w:attr w:name="Month" w:val="5"/>
        </w:smartTagPr>
        <w:r>
          <w:rPr>
            <w:rFonts w:ascii="Garamond" w:hAnsi="Garamond"/>
          </w:rPr>
          <w:t>May 7, 2001</w:t>
        </w:r>
      </w:smartTag>
      <w:r>
        <w:rPr>
          <w:rFonts w:ascii="Garamond" w:hAnsi="Garamond"/>
        </w:rPr>
        <w:t xml:space="preserve">; </w:t>
      </w:r>
      <w:hyperlink r:id="rId1" w:history="1">
        <w:r>
          <w:rPr>
            <w:rStyle w:val="Hyperlink"/>
            <w:rFonts w:ascii="Garamond" w:hAnsi="Garamond"/>
          </w:rPr>
          <w:t>www.budweiser.com</w:t>
        </w:r>
      </w:hyperlink>
      <w:r>
        <w:rPr>
          <w:rFonts w:ascii="Garamond" w:hAnsi="Garamond"/>
        </w:rPr>
        <w:t xml:space="preserve">; Gerry </w:t>
      </w:r>
      <w:proofErr w:type="spellStart"/>
      <w:r>
        <w:rPr>
          <w:rFonts w:ascii="Garamond" w:hAnsi="Garamond"/>
        </w:rPr>
        <w:t>Khermouch</w:t>
      </w:r>
      <w:proofErr w:type="spellEnd"/>
      <w:r>
        <w:rPr>
          <w:rFonts w:ascii="Garamond" w:hAnsi="Garamond"/>
        </w:rPr>
        <w:t xml:space="preserve"> and Theresa Howard.</w:t>
      </w:r>
      <w:proofErr w:type="gramEnd"/>
      <w:r>
        <w:rPr>
          <w:rFonts w:ascii="Garamond" w:hAnsi="Garamond"/>
        </w:rPr>
        <w:t xml:space="preserve"> “Core Brands Receive Primary Marketing Focus.” </w:t>
      </w:r>
      <w:proofErr w:type="spellStart"/>
      <w:proofErr w:type="gramStart"/>
      <w:r>
        <w:rPr>
          <w:rFonts w:ascii="Garamond" w:hAnsi="Garamond"/>
          <w:i/>
        </w:rPr>
        <w:t>Brandweek</w:t>
      </w:r>
      <w:proofErr w:type="spellEnd"/>
      <w:r>
        <w:rPr>
          <w:rFonts w:ascii="Garamond" w:hAnsi="Garamond"/>
        </w:rPr>
        <w:t xml:space="preserve">, </w:t>
      </w:r>
      <w:smartTag w:uri="urn:schemas-microsoft-com:office:smarttags" w:element="date">
        <w:smartTagPr>
          <w:attr w:name="Year" w:val="1999"/>
          <w:attr w:name="Day" w:val="21"/>
          <w:attr w:name="Month" w:val="6"/>
        </w:smartTagPr>
        <w:r>
          <w:rPr>
            <w:rFonts w:ascii="Garamond" w:hAnsi="Garamond"/>
          </w:rPr>
          <w:t>June 21, 1999</w:t>
        </w:r>
      </w:smartTag>
      <w:r>
        <w:rPr>
          <w:rFonts w:ascii="Garamond" w:hAnsi="Garamond"/>
        </w:rPr>
        <w:t>; Thomas Lee.</w:t>
      </w:r>
      <w:proofErr w:type="gramEnd"/>
      <w:r>
        <w:rPr>
          <w:rFonts w:ascii="Garamond" w:hAnsi="Garamond"/>
        </w:rPr>
        <w:t xml:space="preserve"> “A-B Tries New Ad Approach on Internet.” </w:t>
      </w:r>
      <w:proofErr w:type="gramStart"/>
      <w:smartTag w:uri="urn:schemas-microsoft-com:office:smarttags" w:element="place">
        <w:smartTag w:uri="urn:schemas-microsoft-com:office:smarttags" w:element="City">
          <w:r>
            <w:rPr>
              <w:rFonts w:ascii="Garamond" w:hAnsi="Garamond"/>
              <w:i/>
            </w:rPr>
            <w:t>St. Louis</w:t>
          </w:r>
        </w:smartTag>
      </w:smartTag>
      <w:r>
        <w:rPr>
          <w:rFonts w:ascii="Garamond" w:hAnsi="Garamond"/>
          <w:i/>
        </w:rPr>
        <w:t xml:space="preserve"> Post-Dispatch</w:t>
      </w:r>
      <w:r>
        <w:rPr>
          <w:rFonts w:ascii="Garamond" w:hAnsi="Garamond"/>
        </w:rPr>
        <w:t xml:space="preserve">, </w:t>
      </w:r>
      <w:smartTag w:uri="urn:schemas-microsoft-com:office:smarttags" w:element="date">
        <w:smartTagPr>
          <w:attr w:name="Year" w:val="2001"/>
          <w:attr w:name="Day" w:val="20"/>
          <w:attr w:name="Month" w:val="3"/>
        </w:smartTagPr>
        <w:r>
          <w:rPr>
            <w:rFonts w:ascii="Garamond" w:hAnsi="Garamond"/>
          </w:rPr>
          <w:t>March 20, 2001</w:t>
        </w:r>
      </w:smartTag>
      <w:r>
        <w:rPr>
          <w:rFonts w:ascii="Garamond" w:hAnsi="Garamond"/>
        </w:rPr>
        <w:t>; David Armstrong.</w:t>
      </w:r>
      <w:proofErr w:type="gramEnd"/>
      <w:r>
        <w:rPr>
          <w:rFonts w:ascii="Garamond" w:hAnsi="Garamond"/>
        </w:rPr>
        <w:t xml:space="preserve"> “E-Commerce (A Special Report): Here’s to the Net.” </w:t>
      </w:r>
      <w:r>
        <w:rPr>
          <w:rFonts w:ascii="Garamond" w:hAnsi="Garamond"/>
          <w:i/>
        </w:rPr>
        <w:t>Wall Street Journal</w:t>
      </w:r>
      <w:r>
        <w:rPr>
          <w:rFonts w:ascii="Garamond" w:hAnsi="Garamond"/>
        </w:rPr>
        <w:t xml:space="preserve">, </w:t>
      </w:r>
      <w:smartTag w:uri="urn:schemas-microsoft-com:office:smarttags" w:element="date">
        <w:smartTagPr>
          <w:attr w:name="Year" w:val="2001"/>
          <w:attr w:name="Day" w:val="23"/>
          <w:attr w:name="Month" w:val="4"/>
        </w:smartTagPr>
        <w:r>
          <w:rPr>
            <w:rFonts w:ascii="Garamond" w:hAnsi="Garamond"/>
          </w:rPr>
          <w:t>April 23, 2001</w:t>
        </w:r>
      </w:smartTag>
      <w:r>
        <w:rPr>
          <w:rFonts w:ascii="Garamond" w:hAnsi="Garamond"/>
        </w:rPr>
        <w:t>.</w:t>
      </w:r>
    </w:p>
  </w:footnote>
  <w:footnote w:id="2">
    <w:p w:rsidR="00A2003E" w:rsidRDefault="00A2003E">
      <w:pPr>
        <w:pStyle w:val="FootnoteText"/>
        <w:rPr>
          <w:rFonts w:ascii="Garamond" w:hAnsi="Garamond"/>
        </w:rPr>
      </w:pPr>
      <w:r>
        <w:rPr>
          <w:rStyle w:val="FootnoteReference"/>
          <w:rFonts w:ascii="Garamond" w:hAnsi="Garamond"/>
        </w:rPr>
        <w:footnoteRef/>
      </w:r>
      <w:r>
        <w:rPr>
          <w:rFonts w:ascii="Garamond" w:hAnsi="Garamond"/>
        </w:rPr>
        <w:t xml:space="preserve"> </w:t>
      </w:r>
      <w:hyperlink r:id="rId2" w:history="1">
        <w:proofErr w:type="gramStart"/>
        <w:r>
          <w:rPr>
            <w:rStyle w:val="Hyperlink"/>
            <w:rFonts w:ascii="Garamond" w:hAnsi="Garamond"/>
          </w:rPr>
          <w:t>www.corning.com</w:t>
        </w:r>
      </w:hyperlink>
      <w:r>
        <w:rPr>
          <w:rFonts w:ascii="Garamond" w:hAnsi="Garamond"/>
        </w:rPr>
        <w:t>; William J. Holstein.</w:t>
      </w:r>
      <w:proofErr w:type="gramEnd"/>
      <w:r>
        <w:rPr>
          <w:rFonts w:ascii="Garamond" w:hAnsi="Garamond"/>
        </w:rPr>
        <w:t xml:space="preserve"> “Dump the Cookware.” </w:t>
      </w:r>
      <w:proofErr w:type="gramStart"/>
      <w:r>
        <w:rPr>
          <w:rFonts w:ascii="Garamond" w:hAnsi="Garamond"/>
          <w:i/>
        </w:rPr>
        <w:t>Business 2.0</w:t>
      </w:r>
      <w:r>
        <w:rPr>
          <w:rFonts w:ascii="Garamond" w:hAnsi="Garamond"/>
        </w:rPr>
        <w:t xml:space="preserve">, </w:t>
      </w:r>
      <w:smartTag w:uri="urn:schemas-microsoft-com:office:smarttags" w:element="date">
        <w:smartTagPr>
          <w:attr w:name="Year" w:val="2001"/>
          <w:attr w:name="Day" w:val="1"/>
          <w:attr w:name="Month" w:val="5"/>
        </w:smartTagPr>
        <w:r>
          <w:rPr>
            <w:rFonts w:ascii="Garamond" w:hAnsi="Garamond"/>
          </w:rPr>
          <w:t>May 1, 2001</w:t>
        </w:r>
      </w:smartTag>
      <w:r>
        <w:rPr>
          <w:rFonts w:ascii="Garamond" w:hAnsi="Garamond"/>
        </w:rPr>
        <w:t>; Del Jones.</w:t>
      </w:r>
      <w:proofErr w:type="gramEnd"/>
      <w:r>
        <w:rPr>
          <w:rFonts w:ascii="Garamond" w:hAnsi="Garamond"/>
        </w:rPr>
        <w:t xml:space="preserve"> “</w:t>
      </w:r>
      <w:smartTag w:uri="urn:schemas-microsoft-com:office:smarttags" w:element="place">
        <w:smartTag w:uri="urn:schemas-microsoft-com:office:smarttags" w:element="City">
          <w:r>
            <w:rPr>
              <w:rFonts w:ascii="Garamond" w:hAnsi="Garamond"/>
            </w:rPr>
            <w:t>Corning</w:t>
          </w:r>
        </w:smartTag>
      </w:smartTag>
      <w:r>
        <w:rPr>
          <w:rFonts w:ascii="Garamond" w:hAnsi="Garamond"/>
        </w:rPr>
        <w:t xml:space="preserve"> Chief Says Keep Open Mind, Challenge Strategy.” </w:t>
      </w:r>
      <w:proofErr w:type="gramStart"/>
      <w:smartTag w:uri="urn:schemas-microsoft-com:office:smarttags" w:element="place">
        <w:smartTag w:uri="urn:schemas-microsoft-com:office:smarttags" w:element="country-region">
          <w:r>
            <w:rPr>
              <w:rFonts w:ascii="Garamond" w:hAnsi="Garamond"/>
              <w:i/>
            </w:rPr>
            <w:t>USA</w:t>
          </w:r>
        </w:smartTag>
      </w:smartTag>
      <w:r>
        <w:rPr>
          <w:rFonts w:ascii="Garamond" w:hAnsi="Garamond"/>
          <w:i/>
        </w:rPr>
        <w:t xml:space="preserve"> Today</w:t>
      </w:r>
      <w:r>
        <w:rPr>
          <w:rFonts w:ascii="Garamond" w:hAnsi="Garamond"/>
        </w:rPr>
        <w:t xml:space="preserve">, </w:t>
      </w:r>
      <w:smartTag w:uri="urn:schemas-microsoft-com:office:smarttags" w:element="date">
        <w:smartTagPr>
          <w:attr w:name="Year" w:val="2001"/>
          <w:attr w:name="Day" w:val="1"/>
          <w:attr w:name="Month" w:val="6"/>
        </w:smartTagPr>
        <w:r>
          <w:rPr>
            <w:rFonts w:ascii="Garamond" w:hAnsi="Garamond"/>
          </w:rPr>
          <w:t>June 1, 2001</w:t>
        </w:r>
      </w:smartTag>
      <w:r>
        <w:rPr>
          <w:rFonts w:ascii="Garamond" w:hAnsi="Garamond"/>
        </w:rPr>
        <w:t xml:space="preserve">; Timothy </w:t>
      </w:r>
      <w:proofErr w:type="spellStart"/>
      <w:r>
        <w:rPr>
          <w:rFonts w:ascii="Garamond" w:hAnsi="Garamond"/>
        </w:rPr>
        <w:t>Aeppel</w:t>
      </w:r>
      <w:proofErr w:type="spellEnd"/>
      <w:r>
        <w:rPr>
          <w:rFonts w:ascii="Garamond" w:hAnsi="Garamond"/>
        </w:rPr>
        <w:t>.</w:t>
      </w:r>
      <w:proofErr w:type="gramEnd"/>
      <w:r>
        <w:rPr>
          <w:rFonts w:ascii="Garamond" w:hAnsi="Garamond"/>
        </w:rPr>
        <w:t xml:space="preserve"> </w:t>
      </w:r>
      <w:proofErr w:type="gramStart"/>
      <w:r>
        <w:rPr>
          <w:rFonts w:ascii="Garamond" w:hAnsi="Garamond"/>
        </w:rPr>
        <w:t>“</w:t>
      </w:r>
      <w:smartTag w:uri="urn:schemas-microsoft-com:office:smarttags" w:element="place">
        <w:smartTag w:uri="urn:schemas-microsoft-com:office:smarttags" w:element="City">
          <w:r>
            <w:rPr>
              <w:rFonts w:ascii="Garamond" w:hAnsi="Garamond"/>
            </w:rPr>
            <w:t>Corning</w:t>
          </w:r>
        </w:smartTag>
      </w:smartTag>
      <w:r>
        <w:rPr>
          <w:rFonts w:ascii="Garamond" w:hAnsi="Garamond"/>
        </w:rPr>
        <w:t>’s Makeover.”</w:t>
      </w:r>
      <w:proofErr w:type="gramEnd"/>
      <w:r>
        <w:rPr>
          <w:rFonts w:ascii="Garamond" w:hAnsi="Garamond"/>
        </w:rPr>
        <w:t xml:space="preserve"> </w:t>
      </w:r>
      <w:proofErr w:type="gramStart"/>
      <w:r>
        <w:rPr>
          <w:rFonts w:ascii="Garamond" w:hAnsi="Garamond"/>
          <w:i/>
        </w:rPr>
        <w:t>Wall Street Journal</w:t>
      </w:r>
      <w:r>
        <w:rPr>
          <w:rFonts w:ascii="Garamond" w:hAnsi="Garamond"/>
        </w:rPr>
        <w:t xml:space="preserve">, </w:t>
      </w:r>
      <w:smartTag w:uri="urn:schemas-microsoft-com:office:smarttags" w:element="date">
        <w:smartTagPr>
          <w:attr w:name="Year" w:val="1999"/>
          <w:attr w:name="Day" w:val="16"/>
          <w:attr w:name="Month" w:val="7"/>
        </w:smartTagPr>
        <w:r>
          <w:rPr>
            <w:rFonts w:ascii="Garamond" w:hAnsi="Garamond"/>
          </w:rPr>
          <w:t>July 16, 1999</w:t>
        </w:r>
      </w:smartTag>
      <w:r>
        <w:rPr>
          <w:rFonts w:ascii="Garamond" w:hAnsi="Garamond"/>
        </w:rPr>
        <w:t>; Emily Nelson.</w:t>
      </w:r>
      <w:proofErr w:type="gramEnd"/>
      <w:r>
        <w:rPr>
          <w:rFonts w:ascii="Garamond" w:hAnsi="Garamond"/>
        </w:rPr>
        <w:t xml:space="preserve"> “Corning Aims to Sell Off Its Pots, Pans.” </w:t>
      </w:r>
      <w:r>
        <w:rPr>
          <w:rFonts w:ascii="Garamond" w:hAnsi="Garamond"/>
          <w:i/>
        </w:rPr>
        <w:t>Wall Street Journal</w:t>
      </w:r>
      <w:r>
        <w:rPr>
          <w:rFonts w:ascii="Garamond" w:hAnsi="Garamond"/>
        </w:rPr>
        <w:t xml:space="preserve">, </w:t>
      </w:r>
      <w:smartTag w:uri="urn:schemas-microsoft-com:office:smarttags" w:element="date">
        <w:smartTagPr>
          <w:attr w:name="Year" w:val="1997"/>
          <w:attr w:name="Day" w:val="6"/>
          <w:attr w:name="Month" w:val="5"/>
        </w:smartTagPr>
        <w:r>
          <w:rPr>
            <w:rFonts w:ascii="Garamond" w:hAnsi="Garamond"/>
          </w:rPr>
          <w:t>May 6, 1997</w:t>
        </w:r>
      </w:smartTag>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03E" w:rsidRDefault="00A200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2003E" w:rsidRDefault="00A200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CEF"/>
    <w:rsid w:val="00043103"/>
    <w:rsid w:val="002F1A8C"/>
    <w:rsid w:val="003D0204"/>
    <w:rsid w:val="005322F9"/>
    <w:rsid w:val="00603639"/>
    <w:rsid w:val="00646F97"/>
    <w:rsid w:val="00735E15"/>
    <w:rsid w:val="00776BBA"/>
    <w:rsid w:val="00905FA7"/>
    <w:rsid w:val="009A5DE7"/>
    <w:rsid w:val="00A2003E"/>
    <w:rsid w:val="00B14403"/>
    <w:rsid w:val="00BF6BB3"/>
    <w:rsid w:val="00E1655D"/>
    <w:rsid w:val="00E76C98"/>
    <w:rsid w:val="00F40CEF"/>
    <w:rsid w:val="00F65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customStyle="1" w:styleId="TableClassic31">
    <w:name w:val="Table Classic 31"/>
    <w:basedOn w:val="z-TopofForm"/>
    <w:rsid w:val="00043103"/>
    <w:pPr>
      <w:pBdr>
        <w:bottom w:val="none" w:sz="0" w:space="0" w:color="auto"/>
      </w:pBdr>
      <w:spacing w:before="400" w:line="280" w:lineRule="exact"/>
      <w:ind w:left="840" w:right="840"/>
    </w:pPr>
    <w:rPr>
      <w:rFonts w:ascii="Times New Roman" w:hAnsi="Times New Roman" w:cs="Times New Roman"/>
      <w:noProof/>
      <w:vanish w:val="0"/>
      <w:sz w:val="24"/>
      <w:szCs w:val="20"/>
    </w:rPr>
  </w:style>
  <w:style w:type="paragraph" w:styleId="z-TopofForm">
    <w:name w:val="HTML Top of Form"/>
    <w:basedOn w:val="Normal"/>
    <w:next w:val="Normal"/>
    <w:hidden/>
    <w:rsid w:val="00043103"/>
    <w:pPr>
      <w:pBdr>
        <w:bottom w:val="single" w:sz="6" w:space="1" w:color="auto"/>
      </w:pBdr>
      <w:jc w:val="center"/>
    </w:pPr>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customStyle="1" w:styleId="TableClassic31">
    <w:name w:val="Table Classic 31"/>
    <w:basedOn w:val="z-TopofForm"/>
    <w:rsid w:val="00043103"/>
    <w:pPr>
      <w:pBdr>
        <w:bottom w:val="none" w:sz="0" w:space="0" w:color="auto"/>
      </w:pBdr>
      <w:spacing w:before="400" w:line="280" w:lineRule="exact"/>
      <w:ind w:left="840" w:right="840"/>
    </w:pPr>
    <w:rPr>
      <w:rFonts w:ascii="Times New Roman" w:hAnsi="Times New Roman" w:cs="Times New Roman"/>
      <w:noProof/>
      <w:vanish w:val="0"/>
      <w:sz w:val="24"/>
      <w:szCs w:val="20"/>
    </w:rPr>
  </w:style>
  <w:style w:type="paragraph" w:styleId="z-TopofForm">
    <w:name w:val="HTML Top of Form"/>
    <w:basedOn w:val="Normal"/>
    <w:next w:val="Normal"/>
    <w:hidden/>
    <w:rsid w:val="00043103"/>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corning.com" TargetMode="External"/><Relationship Id="rId1" Type="http://schemas.openxmlformats.org/officeDocument/2006/relationships/hyperlink" Target="http://www.budweis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11529</CharactersWithSpaces>
  <SharedDoc>false</SharedDoc>
  <HLinks>
    <vt:vector size="24" baseType="variant">
      <vt:variant>
        <vt:i4>5898299</vt:i4>
      </vt:variant>
      <vt:variant>
        <vt:i4>3</vt:i4>
      </vt:variant>
      <vt:variant>
        <vt:i4>0</vt:i4>
      </vt:variant>
      <vt:variant>
        <vt:i4>5</vt:i4>
      </vt:variant>
      <vt:variant>
        <vt:lpwstr>mailto:Excite@Home</vt:lpwstr>
      </vt:variant>
      <vt:variant>
        <vt:lpwstr/>
      </vt:variant>
      <vt:variant>
        <vt:i4>5898299</vt:i4>
      </vt:variant>
      <vt:variant>
        <vt:i4>0</vt:i4>
      </vt:variant>
      <vt:variant>
        <vt:i4>0</vt:i4>
      </vt:variant>
      <vt:variant>
        <vt:i4>5</vt:i4>
      </vt:variant>
      <vt:variant>
        <vt:lpwstr>mailto:Excite@Home</vt:lpwstr>
      </vt:variant>
      <vt:variant>
        <vt:lpwstr/>
      </vt:variant>
      <vt:variant>
        <vt:i4>3801214</vt:i4>
      </vt:variant>
      <vt:variant>
        <vt:i4>3</vt:i4>
      </vt:variant>
      <vt:variant>
        <vt:i4>0</vt:i4>
      </vt:variant>
      <vt:variant>
        <vt:i4>5</vt:i4>
      </vt:variant>
      <vt:variant>
        <vt:lpwstr>http://www.corning.com/</vt:lpwstr>
      </vt:variant>
      <vt:variant>
        <vt:lpwstr/>
      </vt:variant>
      <vt:variant>
        <vt:i4>4653087</vt:i4>
      </vt:variant>
      <vt:variant>
        <vt:i4>0</vt:i4>
      </vt:variant>
      <vt:variant>
        <vt:i4>0</vt:i4>
      </vt:variant>
      <vt:variant>
        <vt:i4>5</vt:i4>
      </vt:variant>
      <vt:variant>
        <vt:lpwstr>http://www.budweiser.com/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2002-06-17T09:45:00Z</cp:lastPrinted>
  <dcterms:created xsi:type="dcterms:W3CDTF">2013-06-16T15:56:00Z</dcterms:created>
  <dcterms:modified xsi:type="dcterms:W3CDTF">2013-06-16T15:56:00Z</dcterms:modified>
</cp:coreProperties>
</file>