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AE6" w:rsidRDefault="00F71F51">
      <w:pPr>
        <w:tabs>
          <w:tab w:val="left" w:pos="360"/>
        </w:tabs>
        <w:jc w:val="center"/>
        <w:rPr>
          <w:rFonts w:ascii="Garamond" w:hAnsi="Garamond"/>
          <w:b/>
          <w:sz w:val="24"/>
        </w:rPr>
      </w:pPr>
      <w:r>
        <w:rPr>
          <w:rFonts w:ascii="Garamond" w:hAnsi="Garamond"/>
          <w:b/>
          <w:sz w:val="24"/>
        </w:rPr>
        <w:t>LECTURE</w:t>
      </w:r>
      <w:r w:rsidR="00B50AE6">
        <w:rPr>
          <w:rFonts w:ascii="Garamond" w:hAnsi="Garamond"/>
          <w:b/>
          <w:sz w:val="24"/>
        </w:rPr>
        <w:t xml:space="preserve"> 12</w:t>
      </w:r>
    </w:p>
    <w:p w:rsidR="00B50AE6" w:rsidRDefault="00B50AE6">
      <w:pPr>
        <w:tabs>
          <w:tab w:val="left" w:pos="360"/>
        </w:tabs>
        <w:jc w:val="center"/>
        <w:rPr>
          <w:rFonts w:ascii="Garamond" w:hAnsi="Garamond"/>
          <w:b/>
          <w:sz w:val="24"/>
        </w:rPr>
      </w:pPr>
      <w:bookmarkStart w:id="0" w:name="_GoBack"/>
      <w:bookmarkEnd w:id="0"/>
      <w:r>
        <w:rPr>
          <w:rFonts w:ascii="Garamond" w:hAnsi="Garamond"/>
          <w:b/>
          <w:sz w:val="24"/>
        </w:rPr>
        <w:t>Brand Extensions</w:t>
      </w:r>
    </w:p>
    <w:p w:rsidR="00B50AE6" w:rsidRDefault="00B50AE6">
      <w:pPr>
        <w:tabs>
          <w:tab w:val="left" w:pos="360"/>
        </w:tabs>
        <w:rPr>
          <w:rFonts w:ascii="Garamond" w:hAnsi="Garamond"/>
          <w:sz w:val="24"/>
        </w:rPr>
      </w:pPr>
    </w:p>
    <w:p w:rsidR="00B50AE6" w:rsidRDefault="00B50AE6">
      <w:pPr>
        <w:tabs>
          <w:tab w:val="left" w:pos="360"/>
        </w:tabs>
        <w:rPr>
          <w:rFonts w:ascii="Garamond" w:hAnsi="Garamond"/>
          <w:sz w:val="24"/>
        </w:rPr>
      </w:pPr>
    </w:p>
    <w:p w:rsidR="00B50AE6" w:rsidRDefault="00B50AE6">
      <w:pPr>
        <w:pStyle w:val="Heading2"/>
        <w:rPr>
          <w:rFonts w:ascii="Garamond" w:hAnsi="Garamond"/>
          <w:u w:val="single"/>
        </w:rPr>
      </w:pPr>
      <w:r>
        <w:rPr>
          <w:rFonts w:ascii="Garamond" w:hAnsi="Garamond"/>
          <w:b/>
          <w:u w:val="single"/>
        </w:rPr>
        <w:t>Overview</w:t>
      </w:r>
    </w:p>
    <w:p w:rsidR="00F71F51" w:rsidRDefault="00F71F51">
      <w:pPr>
        <w:tabs>
          <w:tab w:val="left" w:pos="360"/>
        </w:tabs>
        <w:rPr>
          <w:rFonts w:ascii="Garamond" w:hAnsi="Garamond"/>
          <w:sz w:val="24"/>
        </w:rPr>
      </w:pPr>
    </w:p>
    <w:p w:rsidR="00B50AE6" w:rsidRDefault="00B50AE6">
      <w:pPr>
        <w:tabs>
          <w:tab w:val="left" w:pos="360"/>
        </w:tabs>
        <w:rPr>
          <w:rFonts w:ascii="Garamond" w:hAnsi="Garamond"/>
          <w:sz w:val="24"/>
        </w:rPr>
      </w:pPr>
      <w:r>
        <w:rPr>
          <w:rFonts w:ascii="Garamond" w:hAnsi="Garamond"/>
          <w:sz w:val="24"/>
        </w:rPr>
        <w:t>This chapter considers the role of brand extensions in creating, maintaining, and enhancing brand equity. The popularity of brand extensions, which apply an established brand name to a new product in the same product category (line extension) or in a different product category (category extension), has been fueled in part by the rising cost of introducing new brands and by the growing realization among companies that their brand investments can be leveraged.</w:t>
      </w:r>
    </w:p>
    <w:p w:rsidR="00B50AE6" w:rsidRDefault="00B50AE6">
      <w:pPr>
        <w:tabs>
          <w:tab w:val="left" w:pos="360"/>
        </w:tabs>
        <w:rPr>
          <w:rFonts w:ascii="Garamond" w:hAnsi="Garamond"/>
          <w:sz w:val="24"/>
        </w:rPr>
      </w:pPr>
    </w:p>
    <w:p w:rsidR="00B50AE6" w:rsidRDefault="00B50AE6">
      <w:pPr>
        <w:tabs>
          <w:tab w:val="left" w:pos="360"/>
        </w:tabs>
        <w:rPr>
          <w:rFonts w:ascii="Garamond" w:hAnsi="Garamond"/>
          <w:sz w:val="24"/>
        </w:rPr>
      </w:pPr>
      <w:r>
        <w:rPr>
          <w:rFonts w:ascii="Garamond" w:hAnsi="Garamond"/>
          <w:sz w:val="24"/>
        </w:rPr>
        <w:t xml:space="preserve">Brand extensions can facilitate new product acceptance by reducing consumers’ perceived risk, raising the probability of gaining distribution and trial, increasing the efficiency of promotional expenditures, lowering the costs of marketing programs, eliminating new brand development costs, allowing for packaging and labeling efficiencies, and permitting consumer variety seeking. They can provide feedback benefits to the parent brand by clarifying the meaning of a brand, enhancing the parent brand image, attracting new customers to the brand franchise, and thereby expanding market coverage, revitalizing the brand, and facilitating subsequent extensions. </w:t>
      </w:r>
    </w:p>
    <w:p w:rsidR="00B50AE6" w:rsidRDefault="00B50AE6">
      <w:pPr>
        <w:tabs>
          <w:tab w:val="left" w:pos="360"/>
        </w:tabs>
        <w:rPr>
          <w:rFonts w:ascii="Garamond" w:hAnsi="Garamond"/>
          <w:sz w:val="24"/>
        </w:rPr>
      </w:pPr>
    </w:p>
    <w:p w:rsidR="00B50AE6" w:rsidRDefault="00B50AE6">
      <w:pPr>
        <w:tabs>
          <w:tab w:val="left" w:pos="360"/>
        </w:tabs>
        <w:rPr>
          <w:rFonts w:ascii="Garamond" w:hAnsi="Garamond"/>
          <w:sz w:val="24"/>
        </w:rPr>
      </w:pPr>
      <w:r>
        <w:rPr>
          <w:rFonts w:ascii="Garamond" w:hAnsi="Garamond"/>
          <w:sz w:val="24"/>
        </w:rPr>
        <w:t xml:space="preserve">However, brand extensions are not a risk-free strategy. They can confuse or frustrate consumers, encounter retailer resistance, hurt the parent brand image if they fail, cannibalize sales of the parent brand, diminish the parent brand’s identification with any one category, </w:t>
      </w:r>
      <w:proofErr w:type="gramStart"/>
      <w:r>
        <w:rPr>
          <w:rFonts w:ascii="Garamond" w:hAnsi="Garamond"/>
          <w:sz w:val="24"/>
        </w:rPr>
        <w:t>create</w:t>
      </w:r>
      <w:proofErr w:type="gramEnd"/>
      <w:r>
        <w:rPr>
          <w:rFonts w:ascii="Garamond" w:hAnsi="Garamond"/>
          <w:sz w:val="24"/>
        </w:rPr>
        <w:t xml:space="preserve"> unfavorable associations for the parent brand if they succeed, dilute the overall meaning of the parent brand, and eliminate the opportunity to develop a new brand with its own unique image and equity.</w:t>
      </w:r>
    </w:p>
    <w:p w:rsidR="00B50AE6" w:rsidRDefault="00B50AE6">
      <w:pPr>
        <w:tabs>
          <w:tab w:val="left" w:pos="360"/>
        </w:tabs>
        <w:rPr>
          <w:rFonts w:ascii="Garamond" w:hAnsi="Garamond"/>
          <w:sz w:val="24"/>
        </w:rPr>
      </w:pPr>
    </w:p>
    <w:p w:rsidR="00B50AE6" w:rsidRDefault="00B50AE6">
      <w:pPr>
        <w:tabs>
          <w:tab w:val="left" w:pos="360"/>
        </w:tabs>
        <w:rPr>
          <w:rFonts w:ascii="Garamond" w:hAnsi="Garamond"/>
          <w:sz w:val="24"/>
        </w:rPr>
      </w:pPr>
      <w:r>
        <w:rPr>
          <w:rFonts w:ascii="Garamond" w:hAnsi="Garamond"/>
          <w:sz w:val="24"/>
        </w:rPr>
        <w:t xml:space="preserve">The best brand extensions not only create equity for the new product, but also add to the equity of the parent brand. All else being equal, an extension will be more successful if consumers perceive that the parent brand and the extension product fit together in some way. A firm engaging in a brand extension strategy should 1) define actual and desired consumer knowledge about the brand, 2) identify possible extension candidates, 3) evaluate the potential of each candidate, 4) evaluate extension feedback effects, 5) consider possible competitive advantages and reactions, 6) design a marketing program to launch the extension, and 7) evaluate the success of the extension and its impact on the equity of the parent brand. </w:t>
      </w:r>
    </w:p>
    <w:p w:rsidR="00B50AE6" w:rsidRDefault="00B50AE6">
      <w:pPr>
        <w:tabs>
          <w:tab w:val="left" w:pos="360"/>
        </w:tabs>
        <w:rPr>
          <w:rFonts w:ascii="Garamond" w:hAnsi="Garamond"/>
          <w:sz w:val="24"/>
        </w:rPr>
      </w:pPr>
    </w:p>
    <w:p w:rsidR="00B50AE6" w:rsidRDefault="00B50AE6">
      <w:pPr>
        <w:tabs>
          <w:tab w:val="left" w:pos="360"/>
        </w:tabs>
        <w:rPr>
          <w:rFonts w:ascii="Garamond" w:hAnsi="Garamond"/>
          <w:sz w:val="24"/>
        </w:rPr>
      </w:pPr>
      <w:r>
        <w:rPr>
          <w:rFonts w:ascii="Garamond" w:hAnsi="Garamond"/>
          <w:sz w:val="24"/>
        </w:rPr>
        <w:t xml:space="preserve">The chapter concludes by providing 14 guidelines for brand extensions based on the findings of numerous of the academic research studies. These guidelines can be employed by marketers to maximize the effectiveness and equity of extensions. </w:t>
      </w:r>
    </w:p>
    <w:p w:rsidR="00B50AE6" w:rsidRDefault="00B50AE6">
      <w:pPr>
        <w:tabs>
          <w:tab w:val="left" w:pos="360"/>
        </w:tabs>
        <w:rPr>
          <w:rFonts w:ascii="Garamond" w:hAnsi="Garamond"/>
          <w:sz w:val="24"/>
        </w:rPr>
      </w:pPr>
    </w:p>
    <w:p w:rsidR="00B50AE6" w:rsidRDefault="00B50AE6">
      <w:pPr>
        <w:tabs>
          <w:tab w:val="left" w:pos="360"/>
        </w:tabs>
        <w:rPr>
          <w:rFonts w:ascii="Garamond" w:hAnsi="Garamond"/>
          <w:sz w:val="24"/>
        </w:rPr>
      </w:pPr>
      <w:r>
        <w:rPr>
          <w:rFonts w:ascii="Garamond" w:hAnsi="Garamond"/>
          <w:sz w:val="24"/>
        </w:rPr>
        <w:t xml:space="preserve">Brand Focus 12.0 analyzes the practice of line extensions. Many factors have led to aggressive line extension strategies, including customer segmentation, pricing </w:t>
      </w:r>
      <w:proofErr w:type="gramStart"/>
      <w:r>
        <w:rPr>
          <w:rFonts w:ascii="Garamond" w:hAnsi="Garamond"/>
          <w:sz w:val="24"/>
        </w:rPr>
        <w:t>breadth,</w:t>
      </w:r>
      <w:proofErr w:type="gramEnd"/>
      <w:r>
        <w:rPr>
          <w:rFonts w:ascii="Garamond" w:hAnsi="Garamond"/>
          <w:sz w:val="24"/>
        </w:rPr>
        <w:t xml:space="preserve"> excess capacity, competitive intensity, and trade pressure. Some of the risks of brand proliferation include: weaker line logic, lower brand loyalty, poorer trade relations, and increased costs. Recommendations to companies seeking effective product-line strategies include: improve </w:t>
      </w:r>
      <w:r>
        <w:rPr>
          <w:rFonts w:ascii="Garamond" w:hAnsi="Garamond"/>
          <w:sz w:val="24"/>
        </w:rPr>
        <w:lastRenderedPageBreak/>
        <w:t xml:space="preserve">cost accounting, allocate resources to winners, research consumer behavior, </w:t>
      </w:r>
      <w:proofErr w:type="gramStart"/>
      <w:r>
        <w:rPr>
          <w:rFonts w:ascii="Garamond" w:hAnsi="Garamond"/>
          <w:sz w:val="24"/>
        </w:rPr>
        <w:t>work</w:t>
      </w:r>
      <w:proofErr w:type="gramEnd"/>
      <w:r>
        <w:rPr>
          <w:rFonts w:ascii="Garamond" w:hAnsi="Garamond"/>
          <w:sz w:val="24"/>
        </w:rPr>
        <w:t xml:space="preserve"> with channel partners, and manage deletions.</w:t>
      </w:r>
    </w:p>
    <w:p w:rsidR="00B50AE6" w:rsidRDefault="00B50AE6">
      <w:pPr>
        <w:tabs>
          <w:tab w:val="left" w:pos="360"/>
        </w:tabs>
        <w:rPr>
          <w:rFonts w:ascii="Garamond" w:hAnsi="Garamond"/>
          <w:sz w:val="24"/>
        </w:rPr>
      </w:pPr>
    </w:p>
    <w:p w:rsidR="00B50AE6" w:rsidRDefault="00B50AE6">
      <w:pPr>
        <w:pStyle w:val="Heading1"/>
        <w:rPr>
          <w:rFonts w:ascii="Garamond" w:hAnsi="Garamond"/>
        </w:rPr>
      </w:pPr>
      <w:r>
        <w:rPr>
          <w:rFonts w:ascii="Garamond" w:hAnsi="Garamond"/>
          <w:b/>
        </w:rPr>
        <w:t>Key take-away points</w:t>
      </w:r>
    </w:p>
    <w:p w:rsidR="00B50AE6" w:rsidRDefault="00B50AE6">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 xml:space="preserve">Extensions can be either introduced in a product category currently served by the parent brand (i.e., line extension) or a completely different product category (i.e., category extension). </w:t>
      </w:r>
    </w:p>
    <w:p w:rsidR="00B50AE6" w:rsidRDefault="00B50AE6">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Extensions allow firms to reduce the costs of brand-building advertising campaigns and of educating consumers about specific product attributes.</w:t>
      </w:r>
    </w:p>
    <w:p w:rsidR="00B50AE6" w:rsidRDefault="00B50AE6">
      <w:pPr>
        <w:tabs>
          <w:tab w:val="left" w:pos="360"/>
        </w:tabs>
        <w:spacing w:before="120"/>
        <w:ind w:left="360" w:hanging="360"/>
        <w:rPr>
          <w:rFonts w:ascii="Garamond" w:hAnsi="Garamond"/>
          <w:sz w:val="24"/>
        </w:rPr>
      </w:pPr>
      <w:r>
        <w:rPr>
          <w:rFonts w:ascii="Garamond" w:hAnsi="Garamond"/>
          <w:sz w:val="24"/>
        </w:rPr>
        <w:t>3.</w:t>
      </w:r>
      <w:r>
        <w:rPr>
          <w:rFonts w:ascii="Garamond" w:hAnsi="Garamond"/>
          <w:sz w:val="24"/>
        </w:rPr>
        <w:tab/>
        <w:t xml:space="preserve">The risks of brand extensions include dilution of the brand name and negative feedback effects on existing products. </w:t>
      </w:r>
    </w:p>
    <w:p w:rsidR="00B50AE6" w:rsidRDefault="00B50AE6">
      <w:pPr>
        <w:tabs>
          <w:tab w:val="left" w:pos="360"/>
        </w:tabs>
        <w:spacing w:before="120"/>
        <w:ind w:left="360" w:hanging="360"/>
        <w:rPr>
          <w:rFonts w:ascii="Garamond" w:hAnsi="Garamond"/>
          <w:sz w:val="24"/>
        </w:rPr>
      </w:pPr>
      <w:r>
        <w:rPr>
          <w:rFonts w:ascii="Garamond" w:hAnsi="Garamond"/>
          <w:sz w:val="24"/>
        </w:rPr>
        <w:t>4.</w:t>
      </w:r>
      <w:r>
        <w:rPr>
          <w:rFonts w:ascii="Garamond" w:hAnsi="Garamond"/>
          <w:sz w:val="24"/>
        </w:rPr>
        <w:tab/>
        <w:t xml:space="preserve">The best extensions are those where the parent brand name helps the new product and the new product helps the parent brand. </w:t>
      </w:r>
    </w:p>
    <w:p w:rsidR="00B50AE6" w:rsidRDefault="00B50AE6">
      <w:pPr>
        <w:spacing w:line="240" w:lineRule="atLeast"/>
        <w:jc w:val="center"/>
        <w:rPr>
          <w:rFonts w:ascii="Garamond" w:hAnsi="Garamond"/>
          <w:b/>
          <w:i/>
          <w:caps/>
          <w:sz w:val="24"/>
        </w:rPr>
      </w:pPr>
      <w:r>
        <w:rPr>
          <w:rFonts w:ascii="Times New Roman" w:hAnsi="Times New Roman"/>
          <w:sz w:val="24"/>
        </w:rPr>
        <w:br w:type="page"/>
      </w:r>
      <w:r>
        <w:rPr>
          <w:rFonts w:ascii="Garamond" w:hAnsi="Garamond"/>
          <w:b/>
          <w:i/>
          <w:caps/>
          <w:sz w:val="24"/>
        </w:rPr>
        <w:lastRenderedPageBreak/>
        <w:t>branding brief 12-7</w:t>
      </w:r>
    </w:p>
    <w:p w:rsidR="00B50AE6" w:rsidRDefault="00B50AE6">
      <w:pPr>
        <w:spacing w:line="240" w:lineRule="atLeast"/>
        <w:jc w:val="center"/>
        <w:rPr>
          <w:rFonts w:ascii="Garamond" w:hAnsi="Garamond"/>
          <w:sz w:val="24"/>
        </w:rPr>
      </w:pPr>
      <w:r>
        <w:rPr>
          <w:rFonts w:ascii="Garamond" w:hAnsi="Garamond"/>
          <w:b/>
          <w:i/>
          <w:caps/>
          <w:sz w:val="24"/>
        </w:rPr>
        <w:t>7up fails to strike gold in the cola market</w:t>
      </w:r>
      <w:r>
        <w:rPr>
          <w:rStyle w:val="FootnoteReference"/>
          <w:rFonts w:ascii="Garamond" w:hAnsi="Garamond"/>
          <w:sz w:val="24"/>
        </w:rPr>
        <w:footnoteReference w:id="1"/>
      </w:r>
    </w:p>
    <w:p w:rsidR="00B50AE6" w:rsidRDefault="00B50AE6">
      <w:pPr>
        <w:spacing w:line="240" w:lineRule="atLeast"/>
        <w:jc w:val="center"/>
        <w:rPr>
          <w:rFonts w:ascii="Garamond" w:hAnsi="Garamond"/>
          <w:sz w:val="24"/>
        </w:rPr>
      </w:pPr>
    </w:p>
    <w:p w:rsidR="00B50AE6" w:rsidRDefault="00B50AE6">
      <w:pPr>
        <w:spacing w:line="240" w:lineRule="atLeast"/>
        <w:jc w:val="center"/>
        <w:rPr>
          <w:rFonts w:ascii="Garamond" w:hAnsi="Garamond"/>
          <w:sz w:val="24"/>
        </w:rPr>
      </w:pPr>
    </w:p>
    <w:p w:rsidR="00B50AE6" w:rsidRDefault="00B50AE6">
      <w:pPr>
        <w:spacing w:line="240" w:lineRule="atLeast"/>
        <w:jc w:val="center"/>
        <w:rPr>
          <w:rFonts w:ascii="Garamond" w:hAnsi="Garamond"/>
          <w:sz w:val="24"/>
        </w:rPr>
      </w:pPr>
    </w:p>
    <w:p w:rsidR="00B50AE6" w:rsidRDefault="00B50AE6">
      <w:pPr>
        <w:spacing w:line="240" w:lineRule="atLeast"/>
        <w:rPr>
          <w:rFonts w:ascii="Garamond" w:hAnsi="Garamond"/>
          <w:sz w:val="24"/>
        </w:rPr>
      </w:pPr>
      <w:r>
        <w:rPr>
          <w:rFonts w:ascii="Garamond" w:hAnsi="Garamond"/>
          <w:sz w:val="24"/>
        </w:rPr>
        <w:t>Seven-Up has struggled for years to properly position its flagship lemon-lime beverage and compete with the powerful Coke and Pepsi cola brands. To grow sales of the brand, it embarked on a brand extension program, introducing Cherry 7Up in 1987. Buoyed by its success — the product gained 1.7 percent market share in its first year — Seven-Up Co. decided to launch another new brand extension, 7Up Gold, in 1988. 7Up Gold was an amber-colored, spicy, caffeinated drink flavored with cinnamon, ginger, and lemon-lime, tasting something like a cross between ginger ale and Dr. Pepper. More robust, masculine, and darker than regular 7Up, the new product was intended to fill in the "missing link" in the company's product offerings.</w:t>
      </w:r>
    </w:p>
    <w:p w:rsidR="00B50AE6" w:rsidRDefault="00B50AE6">
      <w:pPr>
        <w:spacing w:line="240" w:lineRule="atLeast"/>
        <w:rPr>
          <w:rFonts w:ascii="Garamond" w:hAnsi="Garamond"/>
          <w:sz w:val="24"/>
        </w:rPr>
      </w:pPr>
    </w:p>
    <w:p w:rsidR="00B50AE6" w:rsidRDefault="00B50AE6">
      <w:pPr>
        <w:spacing w:line="240" w:lineRule="atLeast"/>
        <w:rPr>
          <w:rFonts w:ascii="Garamond" w:hAnsi="Garamond"/>
          <w:sz w:val="24"/>
        </w:rPr>
      </w:pPr>
      <w:r>
        <w:rPr>
          <w:rFonts w:ascii="Garamond" w:hAnsi="Garamond"/>
          <w:sz w:val="24"/>
        </w:rPr>
        <w:t xml:space="preserve">In many ways, Seven-Up executed a traditional introductory marketing program to launch the product. They first tested the flavor to ensure its consumer likability. They strategically selected a brand name that combined the established 7Up name — for re-assurance — with the "Gold" modifier to connote high quality (but which was intended to still be ambiguous enough to reflect its unusual taste). They backed the brand with a $10 million introductory advertising campaign. Initial network television ads used the theme song "Wild Thing" — as performed by the </w:t>
      </w:r>
      <w:proofErr w:type="spellStart"/>
      <w:r>
        <w:rPr>
          <w:rFonts w:ascii="Garamond" w:hAnsi="Garamond"/>
          <w:sz w:val="24"/>
        </w:rPr>
        <w:t>Troggs</w:t>
      </w:r>
      <w:proofErr w:type="spellEnd"/>
      <w:r>
        <w:rPr>
          <w:rFonts w:ascii="Garamond" w:hAnsi="Garamond"/>
          <w:sz w:val="24"/>
        </w:rPr>
        <w:t xml:space="preserve"> — and showed images of boisterous partygoers and drag-racing soda cans raising clouds of spray. The ads contained the tag line "The Wild Side of 7Up."</w:t>
      </w:r>
    </w:p>
    <w:p w:rsidR="00B50AE6" w:rsidRDefault="00B50AE6">
      <w:pPr>
        <w:spacing w:line="240" w:lineRule="atLeast"/>
        <w:rPr>
          <w:rFonts w:ascii="Garamond" w:hAnsi="Garamond"/>
          <w:sz w:val="24"/>
        </w:rPr>
      </w:pPr>
    </w:p>
    <w:p w:rsidR="00B50AE6" w:rsidRDefault="00B50AE6">
      <w:pPr>
        <w:pStyle w:val="BodyText"/>
        <w:tabs>
          <w:tab w:val="clear" w:pos="360"/>
        </w:tabs>
        <w:spacing w:line="240" w:lineRule="atLeast"/>
        <w:rPr>
          <w:rFonts w:ascii="Garamond" w:hAnsi="Garamond"/>
        </w:rPr>
      </w:pPr>
      <w:r>
        <w:rPr>
          <w:rFonts w:ascii="Garamond" w:hAnsi="Garamond"/>
        </w:rPr>
        <w:t xml:space="preserve">What went wrong?  In the first place, the company chose to quickly introduce the product without any test marketing to understand consumer reaction to the marketing program as a whole. Unfortunately, as one Seven-Up executive stated, </w:t>
      </w:r>
    </w:p>
    <w:p w:rsidR="00B50AE6" w:rsidRDefault="00B50AE6">
      <w:pPr>
        <w:spacing w:before="120" w:after="120" w:line="240" w:lineRule="atLeast"/>
        <w:ind w:left="720" w:right="720"/>
        <w:rPr>
          <w:rFonts w:ascii="Garamond" w:hAnsi="Garamond"/>
          <w:sz w:val="24"/>
        </w:rPr>
      </w:pPr>
      <w:r>
        <w:rPr>
          <w:rFonts w:ascii="Garamond" w:hAnsi="Garamond"/>
          <w:sz w:val="24"/>
        </w:rPr>
        <w:t xml:space="preserve">"The product was misunderstood by the consumer. People had a clear view of what 7Up products should be — clear and crisp, and clean and no caffeine. 7Up Gold is darker and it does have caffeine so it doesn't fit the 7Up image."  </w:t>
      </w:r>
    </w:p>
    <w:p w:rsidR="00B50AE6" w:rsidRDefault="00B50AE6">
      <w:pPr>
        <w:spacing w:line="240" w:lineRule="atLeast"/>
        <w:rPr>
          <w:rFonts w:ascii="Garamond" w:hAnsi="Garamond"/>
          <w:sz w:val="24"/>
        </w:rPr>
      </w:pPr>
      <w:r>
        <w:rPr>
          <w:rFonts w:ascii="Garamond" w:hAnsi="Garamond"/>
          <w:sz w:val="24"/>
        </w:rPr>
        <w:t xml:space="preserve">Prophetically, the product failed to attract the lucrative teen market or an equally powerful group of consumers — mothers of young children. </w:t>
      </w:r>
    </w:p>
    <w:p w:rsidR="00B50AE6" w:rsidRDefault="00B50AE6">
      <w:pPr>
        <w:spacing w:line="240" w:lineRule="atLeast"/>
        <w:rPr>
          <w:rFonts w:ascii="Garamond" w:hAnsi="Garamond"/>
          <w:sz w:val="24"/>
        </w:rPr>
      </w:pPr>
    </w:p>
    <w:p w:rsidR="00B50AE6" w:rsidRDefault="00B50AE6">
      <w:pPr>
        <w:spacing w:line="240" w:lineRule="atLeast"/>
        <w:rPr>
          <w:rFonts w:ascii="Garamond" w:hAnsi="Garamond"/>
          <w:sz w:val="24"/>
        </w:rPr>
      </w:pPr>
      <w:r>
        <w:rPr>
          <w:rFonts w:ascii="Garamond" w:hAnsi="Garamond"/>
          <w:sz w:val="24"/>
        </w:rPr>
        <w:t>Although sales initially looked promising, they quickly began to drop precipitously. Even more worrisome to Seven-Up management, sales of Cherry 7Up also started to slip, as 7Up Gold began to drain away advertising and marketing resources. With market share hovering at only one-tenth of one percent — well below its 1 percent target — Seven-Up was forced to discontinue the product.</w:t>
      </w:r>
    </w:p>
    <w:p w:rsidR="00B50AE6" w:rsidRDefault="00B50AE6">
      <w:pPr>
        <w:pStyle w:val="Heading1"/>
        <w:jc w:val="center"/>
        <w:rPr>
          <w:rFonts w:ascii="Garamond" w:hAnsi="Garamond"/>
          <w:b/>
          <w:i/>
          <w:caps/>
          <w:u w:val="none"/>
        </w:rPr>
      </w:pPr>
      <w:r>
        <w:rPr>
          <w:rFonts w:ascii="Garamond" w:hAnsi="Garamond"/>
        </w:rPr>
        <w:br w:type="page"/>
      </w:r>
      <w:r>
        <w:rPr>
          <w:rFonts w:ascii="Garamond" w:hAnsi="Garamond"/>
          <w:b/>
          <w:i/>
          <w:caps/>
          <w:u w:val="none"/>
        </w:rPr>
        <w:lastRenderedPageBreak/>
        <w:t>Branding Brief 12-8</w:t>
      </w:r>
    </w:p>
    <w:p w:rsidR="00B50AE6" w:rsidRDefault="00B50AE6">
      <w:pPr>
        <w:pStyle w:val="Heading1"/>
        <w:jc w:val="center"/>
        <w:rPr>
          <w:rFonts w:ascii="Garamond" w:hAnsi="Garamond"/>
        </w:rPr>
      </w:pPr>
      <w:r>
        <w:rPr>
          <w:rFonts w:ascii="Garamond" w:hAnsi="Garamond"/>
          <w:b/>
          <w:i/>
          <w:caps/>
          <w:u w:val="none"/>
        </w:rPr>
        <w:t>Crystal Pepsi</w:t>
      </w:r>
      <w:r>
        <w:rPr>
          <w:rStyle w:val="FootnoteReference"/>
          <w:rFonts w:ascii="Garamond" w:hAnsi="Garamond"/>
          <w:b/>
          <w:i/>
          <w:caps/>
          <w:u w:val="none"/>
        </w:rPr>
        <w:footnoteReference w:id="2"/>
      </w:r>
    </w:p>
    <w:p w:rsidR="00B50AE6" w:rsidRDefault="00B50AE6">
      <w:pPr>
        <w:pStyle w:val="Footer"/>
        <w:tabs>
          <w:tab w:val="clear" w:pos="4320"/>
          <w:tab w:val="clear" w:pos="8640"/>
        </w:tabs>
        <w:rPr>
          <w:rFonts w:ascii="Garamond" w:hAnsi="Garamond"/>
        </w:rPr>
      </w:pPr>
    </w:p>
    <w:p w:rsidR="00B50AE6" w:rsidRDefault="00B50AE6">
      <w:pPr>
        <w:rPr>
          <w:rFonts w:ascii="Garamond" w:hAnsi="Garamond"/>
          <w:sz w:val="24"/>
        </w:rPr>
      </w:pPr>
    </w:p>
    <w:p w:rsidR="00B50AE6" w:rsidRDefault="00B50AE6">
      <w:pPr>
        <w:rPr>
          <w:rFonts w:ascii="Garamond" w:hAnsi="Garamond"/>
          <w:sz w:val="24"/>
        </w:rPr>
      </w:pPr>
      <w:r>
        <w:rPr>
          <w:rFonts w:ascii="Garamond" w:hAnsi="Garamond"/>
          <w:sz w:val="24"/>
        </w:rPr>
        <w:t>To capitalize on the trend toward clear products, such as Ban Clear deodorant and Clear Band-Aids, in December 1992 Pepsi introduced a colorless cola called Crystal Pepsi. Crystal Pepsi prominently bore the Pepsi name and logo, but the taste was made distinctly different from Pepsi by the addition of cinnamon, ginger, and pepper flavors. The slogan “You’ve never seen a taste like this” was adopted to convey the taste difference. Pepsi launched Crystal Pepsi with $40 million advertising campaign, the centerpiece of which was a television spot featuring the Van Halen song “Right Now.”  Within three months, Crystal Pepsi had captured 2.4 percent of supermarket soft-drink sales, and was on target to reach the goal of an overall two percent market share.</w:t>
      </w:r>
    </w:p>
    <w:p w:rsidR="00B50AE6" w:rsidRDefault="00B50AE6">
      <w:pPr>
        <w:rPr>
          <w:rFonts w:ascii="Garamond" w:hAnsi="Garamond"/>
          <w:sz w:val="24"/>
        </w:rPr>
      </w:pPr>
    </w:p>
    <w:p w:rsidR="00B50AE6" w:rsidRDefault="00B50AE6">
      <w:pPr>
        <w:pStyle w:val="BodyText2"/>
        <w:tabs>
          <w:tab w:val="clear" w:pos="360"/>
        </w:tabs>
      </w:pPr>
      <w:r>
        <w:t xml:space="preserve">Many consumers did not stick with the product, however, after initial trials. The name and packaging apparently led consumers to believe that Crystal Pepsi tasted like regular Pepsi. “That is a challenge for us,” admitted Brian </w:t>
      </w:r>
      <w:proofErr w:type="spellStart"/>
      <w:r>
        <w:t>Swette</w:t>
      </w:r>
      <w:proofErr w:type="spellEnd"/>
      <w:r>
        <w:t xml:space="preserve">, Pepsi’s vice president of new beverages at the time. “It is a unique taste, and there is an expectation to overcome.”  Pepsi altered advertising to focus more on Crystal Pepsi’s flavor and other product attributes. The company also conducted extensive sampling to familiarize consumers with the new taste. Still, Crystal Pepsi captured only 1.1 percent of the domestic soft-drink market in its first year. Pepsi-Cola North America CEO Craig </w:t>
      </w:r>
      <w:proofErr w:type="spellStart"/>
      <w:r>
        <w:t>Weatherup</w:t>
      </w:r>
      <w:proofErr w:type="spellEnd"/>
      <w:r>
        <w:t xml:space="preserve"> said, “I’m more than a little disappointed we were not able to satisfy people’s taste.”</w:t>
      </w:r>
    </w:p>
    <w:p w:rsidR="00B50AE6" w:rsidRDefault="00B50AE6">
      <w:pPr>
        <w:rPr>
          <w:rFonts w:ascii="Garamond" w:hAnsi="Garamond"/>
          <w:sz w:val="24"/>
        </w:rPr>
      </w:pPr>
    </w:p>
    <w:p w:rsidR="00B50AE6" w:rsidRDefault="00B50AE6">
      <w:pPr>
        <w:rPr>
          <w:rFonts w:ascii="Garamond" w:hAnsi="Garamond"/>
          <w:sz w:val="24"/>
        </w:rPr>
      </w:pPr>
      <w:r>
        <w:rPr>
          <w:rFonts w:ascii="Garamond" w:hAnsi="Garamond"/>
          <w:sz w:val="24"/>
        </w:rPr>
        <w:t>In 1994, Crystal Pepsi was reintroduced as “</w:t>
      </w:r>
      <w:smartTag w:uri="urn:schemas-microsoft-com:office:smarttags" w:element="place">
        <w:smartTag w:uri="urn:schemas-microsoft-com:office:smarttags" w:element="City">
          <w:r>
            <w:rPr>
              <w:rFonts w:ascii="Garamond" w:hAnsi="Garamond"/>
              <w:sz w:val="24"/>
            </w:rPr>
            <w:t>Crystal</w:t>
          </w:r>
        </w:smartTag>
      </w:smartTag>
      <w:r>
        <w:rPr>
          <w:rFonts w:ascii="Garamond" w:hAnsi="Garamond"/>
          <w:sz w:val="24"/>
        </w:rPr>
        <w:t xml:space="preserve">, from the makers of Pepsi” and reformulated drink as a citrus cola. This put </w:t>
      </w:r>
      <w:smartTag w:uri="urn:schemas-microsoft-com:office:smarttags" w:element="place">
        <w:smartTag w:uri="urn:schemas-microsoft-com:office:smarttags" w:element="City">
          <w:r>
            <w:rPr>
              <w:rFonts w:ascii="Garamond" w:hAnsi="Garamond"/>
              <w:sz w:val="24"/>
            </w:rPr>
            <w:t>Crystal</w:t>
          </w:r>
        </w:smartTag>
      </w:smartTag>
      <w:r>
        <w:rPr>
          <w:rFonts w:ascii="Garamond" w:hAnsi="Garamond"/>
          <w:sz w:val="24"/>
        </w:rPr>
        <w:t xml:space="preserve"> in competition with Sprite and Seven-Up, rather than cola brands. The reformulated </w:t>
      </w:r>
      <w:smartTag w:uri="urn:schemas-microsoft-com:office:smarttags" w:element="City">
        <w:r>
          <w:rPr>
            <w:rFonts w:ascii="Garamond" w:hAnsi="Garamond"/>
            <w:sz w:val="24"/>
          </w:rPr>
          <w:t>Crystal</w:t>
        </w:r>
      </w:smartTag>
      <w:r>
        <w:rPr>
          <w:rFonts w:ascii="Garamond" w:hAnsi="Garamond"/>
          <w:sz w:val="24"/>
        </w:rPr>
        <w:t xml:space="preserve"> met with less success than the first recipe, and Pepsi shelved </w:t>
      </w:r>
      <w:smartTag w:uri="urn:schemas-microsoft-com:office:smarttags" w:element="place">
        <w:smartTag w:uri="urn:schemas-microsoft-com:office:smarttags" w:element="City">
          <w:r>
            <w:rPr>
              <w:rFonts w:ascii="Garamond" w:hAnsi="Garamond"/>
              <w:sz w:val="24"/>
            </w:rPr>
            <w:t>Crystal</w:t>
          </w:r>
        </w:smartTag>
      </w:smartTag>
      <w:r>
        <w:rPr>
          <w:rFonts w:ascii="Garamond" w:hAnsi="Garamond"/>
          <w:sz w:val="24"/>
        </w:rPr>
        <w:t xml:space="preserve"> entirely before the end of the year. </w:t>
      </w:r>
    </w:p>
    <w:p w:rsidR="00B50AE6" w:rsidRDefault="00B50AE6">
      <w:pPr>
        <w:rPr>
          <w:rFonts w:ascii="Garamond" w:hAnsi="Garamond"/>
          <w:sz w:val="24"/>
        </w:rPr>
      </w:pPr>
    </w:p>
    <w:p w:rsidR="00B50AE6" w:rsidRDefault="00B50AE6">
      <w:pPr>
        <w:tabs>
          <w:tab w:val="left" w:pos="360"/>
        </w:tabs>
        <w:jc w:val="center"/>
        <w:rPr>
          <w:rFonts w:ascii="Garamond" w:hAnsi="Garamond"/>
          <w:sz w:val="24"/>
        </w:rPr>
      </w:pPr>
    </w:p>
    <w:p w:rsidR="00B50AE6" w:rsidRDefault="00B50AE6">
      <w:pPr>
        <w:tabs>
          <w:tab w:val="left" w:pos="360"/>
        </w:tabs>
        <w:jc w:val="center"/>
        <w:rPr>
          <w:rFonts w:ascii="Times New Roman" w:hAnsi="Times New Roman"/>
          <w:sz w:val="24"/>
        </w:rPr>
      </w:pPr>
    </w:p>
    <w:sectPr w:rsidR="00B50AE6" w:rsidSect="00494553">
      <w:headerReference w:type="even" r:id="rId8"/>
      <w:footerReference w:type="even" r:id="rId9"/>
      <w:footerReference w:type="default" r:id="rId10"/>
      <w:pgSz w:w="12240" w:h="15840"/>
      <w:pgMar w:top="1440" w:right="1800" w:bottom="1440" w:left="1800" w:header="720" w:footer="720" w:gutter="0"/>
      <w:pgNumType w:start="5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549" w:rsidRDefault="00F52549">
      <w:r>
        <w:separator/>
      </w:r>
    </w:p>
  </w:endnote>
  <w:endnote w:type="continuationSeparator" w:id="0">
    <w:p w:rsidR="00F52549" w:rsidRDefault="00F52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586" w:rsidRDefault="00A555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5586" w:rsidRDefault="00A555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586" w:rsidRDefault="00A55586">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F71F51">
      <w:rPr>
        <w:rStyle w:val="PageNumber"/>
        <w:rFonts w:ascii="Times New Roman" w:hAnsi="Times New Roman"/>
        <w:noProof/>
        <w:sz w:val="24"/>
      </w:rPr>
      <w:t>59</w:t>
    </w:r>
    <w:r>
      <w:rPr>
        <w:rStyle w:val="PageNumber"/>
        <w:rFonts w:ascii="Times New Roman" w:hAnsi="Times New Roman"/>
        <w:sz w:val="24"/>
      </w:rPr>
      <w:fldChar w:fldCharType="end"/>
    </w:r>
  </w:p>
  <w:p w:rsidR="00A55586" w:rsidRDefault="00A5558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549" w:rsidRDefault="00F52549">
      <w:r>
        <w:separator/>
      </w:r>
    </w:p>
  </w:footnote>
  <w:footnote w:type="continuationSeparator" w:id="0">
    <w:p w:rsidR="00F52549" w:rsidRDefault="00F52549">
      <w:r>
        <w:continuationSeparator/>
      </w:r>
    </w:p>
  </w:footnote>
  <w:footnote w:id="1">
    <w:p w:rsidR="00A55586" w:rsidRDefault="00A55586">
      <w:pPr>
        <w:pStyle w:val="endnotetext"/>
        <w:rPr>
          <w:rFonts w:ascii="Garamond" w:hAnsi="Garamond"/>
        </w:rPr>
      </w:pPr>
      <w:r>
        <w:rPr>
          <w:rStyle w:val="FootnoteReference"/>
          <w:rFonts w:ascii="Garamond" w:hAnsi="Garamond"/>
        </w:rPr>
        <w:footnoteRef/>
      </w:r>
      <w:r>
        <w:rPr>
          <w:rFonts w:ascii="Garamond" w:hAnsi="Garamond"/>
        </w:rPr>
        <w:t xml:space="preserve"> Douglas C. McGill, "7Up Gold: The Failure of a Can't Lose Plan," </w:t>
      </w:r>
      <w:r>
        <w:rPr>
          <w:rFonts w:ascii="Garamond" w:hAnsi="Garamond"/>
          <w:u w:val="single"/>
        </w:rPr>
        <w:t>New York Times</w:t>
      </w:r>
      <w:r>
        <w:rPr>
          <w:rFonts w:ascii="Garamond" w:hAnsi="Garamond"/>
        </w:rPr>
        <w:t xml:space="preserve">, </w:t>
      </w:r>
      <w:smartTag w:uri="urn:schemas-microsoft-com:office:smarttags" w:element="date">
        <w:smartTagPr>
          <w:attr w:name="Year" w:val="1989"/>
          <w:attr w:name="Day" w:val="11"/>
          <w:attr w:name="Month" w:val="2"/>
        </w:smartTagPr>
        <w:r>
          <w:rPr>
            <w:rFonts w:ascii="Garamond" w:hAnsi="Garamond"/>
          </w:rPr>
          <w:t>February 11, 1989</w:t>
        </w:r>
      </w:smartTag>
      <w:r>
        <w:rPr>
          <w:rFonts w:ascii="Garamond" w:hAnsi="Garamond"/>
        </w:rPr>
        <w:t xml:space="preserve">; Jennifer Lawrence, "Seven-Up Puts New Fizz in Ads," </w:t>
      </w:r>
      <w:r>
        <w:rPr>
          <w:rFonts w:ascii="Garamond" w:hAnsi="Garamond"/>
          <w:u w:val="single"/>
        </w:rPr>
        <w:t>Advertising Age</w:t>
      </w:r>
      <w:r>
        <w:rPr>
          <w:rFonts w:ascii="Garamond" w:hAnsi="Garamond"/>
        </w:rPr>
        <w:t xml:space="preserve">, </w:t>
      </w:r>
      <w:smartTag w:uri="urn:schemas-microsoft-com:office:smarttags" w:element="date">
        <w:smartTagPr>
          <w:attr w:name="Year" w:val="1988"/>
          <w:attr w:name="Day" w:val="17"/>
          <w:attr w:name="Month" w:val="10"/>
        </w:smartTagPr>
        <w:r>
          <w:rPr>
            <w:rFonts w:ascii="Garamond" w:hAnsi="Garamond"/>
          </w:rPr>
          <w:t>October 17, 1988</w:t>
        </w:r>
      </w:smartTag>
      <w:r>
        <w:rPr>
          <w:rFonts w:ascii="Garamond" w:hAnsi="Garamond"/>
        </w:rPr>
        <w:t xml:space="preserve">, p.34; </w:t>
      </w:r>
      <w:proofErr w:type="spellStart"/>
      <w:r>
        <w:rPr>
          <w:rFonts w:ascii="Garamond" w:hAnsi="Garamond"/>
        </w:rPr>
        <w:t>Marj</w:t>
      </w:r>
      <w:proofErr w:type="spellEnd"/>
      <w:r>
        <w:rPr>
          <w:rFonts w:ascii="Garamond" w:hAnsi="Garamond"/>
        </w:rPr>
        <w:t xml:space="preserve"> </w:t>
      </w:r>
      <w:proofErr w:type="spellStart"/>
      <w:r>
        <w:rPr>
          <w:rFonts w:ascii="Garamond" w:hAnsi="Garamond"/>
        </w:rPr>
        <w:t>Charlier</w:t>
      </w:r>
      <w:proofErr w:type="spellEnd"/>
      <w:r>
        <w:rPr>
          <w:rFonts w:ascii="Garamond" w:hAnsi="Garamond"/>
        </w:rPr>
        <w:t xml:space="preserve">, "Seven-Up, Despite Market Glut, Plans to Launch New Soft Drink," </w:t>
      </w:r>
      <w:r>
        <w:rPr>
          <w:rFonts w:ascii="Garamond" w:hAnsi="Garamond"/>
          <w:u w:val="single"/>
        </w:rPr>
        <w:t>Wall Street Journal</w:t>
      </w:r>
      <w:r>
        <w:rPr>
          <w:rFonts w:ascii="Garamond" w:hAnsi="Garamond"/>
        </w:rPr>
        <w:t>.</w:t>
      </w:r>
    </w:p>
  </w:footnote>
  <w:footnote w:id="2">
    <w:p w:rsidR="00A55586" w:rsidRDefault="00A55586">
      <w:r>
        <w:rPr>
          <w:rStyle w:val="FootnoteReference"/>
        </w:rPr>
        <w:footnoteRef/>
      </w:r>
      <w:r>
        <w:t xml:space="preserve"> </w:t>
      </w:r>
      <w:r>
        <w:rPr>
          <w:rFonts w:ascii="Times New Roman" w:hAnsi="Times New Roman"/>
        </w:rPr>
        <w:t xml:space="preserve">Michael J. McCarthy. “Pepsi’s Future Could Be Less Crystal Clear.” </w:t>
      </w:r>
      <w:proofErr w:type="gramStart"/>
      <w:r>
        <w:rPr>
          <w:rFonts w:ascii="Times New Roman" w:hAnsi="Times New Roman"/>
          <w:i/>
        </w:rPr>
        <w:t>Wall Street Journal</w:t>
      </w:r>
      <w:r>
        <w:rPr>
          <w:rFonts w:ascii="Times New Roman" w:hAnsi="Times New Roman"/>
        </w:rPr>
        <w:t xml:space="preserve">, </w:t>
      </w:r>
      <w:smartTag w:uri="urn:schemas-microsoft-com:office:smarttags" w:element="date">
        <w:smartTagPr>
          <w:attr w:name="Year" w:val="1994"/>
          <w:attr w:name="Day" w:val="30"/>
          <w:attr w:name="Month" w:val="4"/>
        </w:smartTagPr>
        <w:r>
          <w:rPr>
            <w:rFonts w:ascii="Times New Roman" w:hAnsi="Times New Roman"/>
          </w:rPr>
          <w:t>April 30, 1994</w:t>
        </w:r>
      </w:smartTag>
      <w:r>
        <w:rPr>
          <w:rFonts w:ascii="Times New Roman" w:hAnsi="Times New Roman"/>
        </w:rPr>
        <w:t xml:space="preserve">; Emily </w:t>
      </w:r>
      <w:proofErr w:type="spellStart"/>
      <w:r>
        <w:rPr>
          <w:rFonts w:ascii="Times New Roman" w:hAnsi="Times New Roman"/>
        </w:rPr>
        <w:t>DeNitto</w:t>
      </w:r>
      <w:proofErr w:type="spellEnd"/>
      <w:r>
        <w:rPr>
          <w:rFonts w:ascii="Times New Roman" w:hAnsi="Times New Roman"/>
        </w:rPr>
        <w:t>.</w:t>
      </w:r>
      <w:proofErr w:type="gramEnd"/>
      <w:r>
        <w:rPr>
          <w:rFonts w:ascii="Times New Roman" w:hAnsi="Times New Roman"/>
        </w:rPr>
        <w:t xml:space="preserve"> “Pepsi Sees Citrus Appeal in its </w:t>
      </w:r>
      <w:smartTag w:uri="urn:schemas-microsoft-com:office:smarttags" w:element="place">
        <w:smartTag w:uri="urn:schemas-microsoft-com:office:smarttags" w:element="City">
          <w:r>
            <w:rPr>
              <w:rFonts w:ascii="Times New Roman" w:hAnsi="Times New Roman"/>
            </w:rPr>
            <w:t>Crystal</w:t>
          </w:r>
        </w:smartTag>
      </w:smartTag>
      <w:r>
        <w:rPr>
          <w:rFonts w:ascii="Times New Roman" w:hAnsi="Times New Roman"/>
        </w:rPr>
        <w:t xml:space="preserve">.” </w:t>
      </w:r>
      <w:proofErr w:type="gramStart"/>
      <w:r>
        <w:rPr>
          <w:rFonts w:ascii="Times New Roman" w:hAnsi="Times New Roman"/>
          <w:i/>
        </w:rPr>
        <w:t>Advertising Age</w:t>
      </w:r>
      <w:r>
        <w:rPr>
          <w:rFonts w:ascii="Times New Roman" w:hAnsi="Times New Roman"/>
        </w:rPr>
        <w:t xml:space="preserve">, </w:t>
      </w:r>
      <w:smartTag w:uri="urn:schemas-microsoft-com:office:smarttags" w:element="date">
        <w:smartTagPr>
          <w:attr w:name="Year" w:val="1994"/>
          <w:attr w:name="Day" w:val="18"/>
          <w:attr w:name="Month" w:val="7"/>
        </w:smartTagPr>
        <w:r>
          <w:rPr>
            <w:rFonts w:ascii="Times New Roman" w:hAnsi="Times New Roman"/>
          </w:rPr>
          <w:t>July 18, 1994</w:t>
        </w:r>
      </w:smartTag>
      <w:r>
        <w:rPr>
          <w:rFonts w:ascii="Times New Roman" w:hAnsi="Times New Roman"/>
        </w:rPr>
        <w:t xml:space="preserve">; Laura </w:t>
      </w:r>
      <w:proofErr w:type="spellStart"/>
      <w:r>
        <w:rPr>
          <w:rFonts w:ascii="Times New Roman" w:hAnsi="Times New Roman"/>
        </w:rPr>
        <w:t>Zinn</w:t>
      </w:r>
      <w:proofErr w:type="spellEnd"/>
      <w:r>
        <w:rPr>
          <w:rFonts w:ascii="Times New Roman" w:hAnsi="Times New Roman"/>
        </w:rPr>
        <w:t>.</w:t>
      </w:r>
      <w:proofErr w:type="gramEnd"/>
      <w:r>
        <w:rPr>
          <w:rFonts w:ascii="Times New Roman" w:hAnsi="Times New Roman"/>
        </w:rPr>
        <w:t xml:space="preserve"> “Does Pepsi Have Too Many Products?” </w:t>
      </w:r>
      <w:r>
        <w:rPr>
          <w:rFonts w:ascii="Times New Roman" w:hAnsi="Times New Roman"/>
          <w:i/>
        </w:rPr>
        <w:t>Business Week</w:t>
      </w:r>
      <w:r>
        <w:rPr>
          <w:rFonts w:ascii="Times New Roman" w:hAnsi="Times New Roman"/>
        </w:rPr>
        <w:t xml:space="preserve">, </w:t>
      </w:r>
      <w:smartTag w:uri="urn:schemas-microsoft-com:office:smarttags" w:element="date">
        <w:smartTagPr>
          <w:attr w:name="Year" w:val="1994"/>
          <w:attr w:name="Day" w:val="14"/>
          <w:attr w:name="Month" w:val="2"/>
        </w:smartTagPr>
        <w:r>
          <w:rPr>
            <w:rFonts w:ascii="Times New Roman" w:hAnsi="Times New Roman"/>
          </w:rPr>
          <w:t>February 14, 1994</w:t>
        </w:r>
      </w:smartTag>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586" w:rsidRDefault="00A5558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5586" w:rsidRDefault="00A555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E7C71"/>
    <w:multiLevelType w:val="hybridMultilevel"/>
    <w:tmpl w:val="792E4C92"/>
    <w:lvl w:ilvl="0" w:tplc="355A251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6B6B62"/>
    <w:multiLevelType w:val="hybridMultilevel"/>
    <w:tmpl w:val="9664EF0A"/>
    <w:lvl w:ilvl="0" w:tplc="F7680968">
      <w:start w:val="1"/>
      <w:numFmt w:val="bullet"/>
      <w:lvlText w:val=""/>
      <w:lvlJc w:val="left"/>
      <w:pPr>
        <w:tabs>
          <w:tab w:val="num" w:pos="1457"/>
        </w:tabs>
        <w:ind w:left="1457" w:hanging="397"/>
      </w:pPr>
      <w:rPr>
        <w:rFonts w:ascii="Symbol" w:hAnsi="Symbol" w:hint="default"/>
        <w:sz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2A24B98"/>
    <w:multiLevelType w:val="hybridMultilevel"/>
    <w:tmpl w:val="6B528346"/>
    <w:lvl w:ilvl="0" w:tplc="43E87126">
      <w:start w:val="1"/>
      <w:numFmt w:val="lowerLetter"/>
      <w:lvlText w:val="%1."/>
      <w:lvlJc w:val="left"/>
      <w:pPr>
        <w:tabs>
          <w:tab w:val="num" w:pos="1348"/>
        </w:tabs>
        <w:ind w:left="1420" w:hanging="360"/>
      </w:pPr>
      <w:rPr>
        <w:rFonts w:hint="default"/>
        <w:sz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2B8B3890"/>
    <w:multiLevelType w:val="multilevel"/>
    <w:tmpl w:val="71AC418A"/>
    <w:lvl w:ilvl="0">
      <w:start w:val="4"/>
      <w:numFmt w:val="decimal"/>
      <w:lvlText w:val="%1."/>
      <w:lvlJc w:val="left"/>
      <w:pPr>
        <w:tabs>
          <w:tab w:val="num" w:pos="1510"/>
        </w:tabs>
        <w:ind w:left="1510" w:hanging="450"/>
      </w:pPr>
      <w:rPr>
        <w:rFonts w:hint="default"/>
        <w:sz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nsid w:val="2BB44F57"/>
    <w:multiLevelType w:val="multilevel"/>
    <w:tmpl w:val="F2020072"/>
    <w:lvl w:ilvl="0">
      <w:start w:val="4"/>
      <w:numFmt w:val="decimal"/>
      <w:lvlText w:val="%1."/>
      <w:lvlJc w:val="left"/>
      <w:pPr>
        <w:tabs>
          <w:tab w:val="num" w:pos="720"/>
        </w:tabs>
        <w:ind w:left="720" w:hanging="450"/>
      </w:pPr>
      <w:rPr>
        <w:rFonts w:hint="default"/>
      </w:rPr>
    </w:lvl>
    <w:lvl w:ilvl="1">
      <w:start w:val="1"/>
      <w:numFmt w:val="lowerLetter"/>
      <w:lvlText w:val="%2."/>
      <w:lvlJc w:val="left"/>
      <w:pPr>
        <w:tabs>
          <w:tab w:val="num" w:pos="1350"/>
        </w:tabs>
        <w:ind w:left="1350" w:hanging="360"/>
      </w:pPr>
    </w:lvl>
    <w:lvl w:ilvl="2">
      <w:start w:val="1"/>
      <w:numFmt w:val="lowerRoman"/>
      <w:lvlText w:val="%3."/>
      <w:lvlJc w:val="right"/>
      <w:pPr>
        <w:tabs>
          <w:tab w:val="num" w:pos="2070"/>
        </w:tabs>
        <w:ind w:left="2070" w:hanging="180"/>
      </w:pPr>
    </w:lvl>
    <w:lvl w:ilvl="3">
      <w:start w:val="1"/>
      <w:numFmt w:val="decimal"/>
      <w:lvlText w:val="%4."/>
      <w:lvlJc w:val="left"/>
      <w:pPr>
        <w:tabs>
          <w:tab w:val="num" w:pos="2790"/>
        </w:tabs>
        <w:ind w:left="2790" w:hanging="360"/>
      </w:pPr>
    </w:lvl>
    <w:lvl w:ilvl="4">
      <w:start w:val="1"/>
      <w:numFmt w:val="lowerLetter"/>
      <w:lvlText w:val="%5."/>
      <w:lvlJc w:val="left"/>
      <w:pPr>
        <w:tabs>
          <w:tab w:val="num" w:pos="3510"/>
        </w:tabs>
        <w:ind w:left="3510" w:hanging="360"/>
      </w:pPr>
    </w:lvl>
    <w:lvl w:ilvl="5">
      <w:start w:val="1"/>
      <w:numFmt w:val="lowerRoman"/>
      <w:lvlText w:val="%6."/>
      <w:lvlJc w:val="right"/>
      <w:pPr>
        <w:tabs>
          <w:tab w:val="num" w:pos="4230"/>
        </w:tabs>
        <w:ind w:left="4230" w:hanging="180"/>
      </w:pPr>
    </w:lvl>
    <w:lvl w:ilvl="6">
      <w:start w:val="1"/>
      <w:numFmt w:val="decimal"/>
      <w:lvlText w:val="%7."/>
      <w:lvlJc w:val="left"/>
      <w:pPr>
        <w:tabs>
          <w:tab w:val="num" w:pos="4950"/>
        </w:tabs>
        <w:ind w:left="4950" w:hanging="360"/>
      </w:pPr>
    </w:lvl>
    <w:lvl w:ilvl="7">
      <w:start w:val="1"/>
      <w:numFmt w:val="lowerLetter"/>
      <w:lvlText w:val="%8."/>
      <w:lvlJc w:val="left"/>
      <w:pPr>
        <w:tabs>
          <w:tab w:val="num" w:pos="5670"/>
        </w:tabs>
        <w:ind w:left="5670" w:hanging="360"/>
      </w:pPr>
    </w:lvl>
    <w:lvl w:ilvl="8">
      <w:start w:val="1"/>
      <w:numFmt w:val="lowerRoman"/>
      <w:lvlText w:val="%9."/>
      <w:lvlJc w:val="right"/>
      <w:pPr>
        <w:tabs>
          <w:tab w:val="num" w:pos="6390"/>
        </w:tabs>
        <w:ind w:left="6390" w:hanging="180"/>
      </w:pPr>
    </w:lvl>
  </w:abstractNum>
  <w:abstractNum w:abstractNumId="7">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nsid w:val="344E4D78"/>
    <w:multiLevelType w:val="hybridMultilevel"/>
    <w:tmpl w:val="19A64C98"/>
    <w:lvl w:ilvl="0" w:tplc="DF84887A">
      <w:start w:val="1"/>
      <w:numFmt w:val="lowerLetter"/>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9">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1">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6F3501D6"/>
    <w:multiLevelType w:val="hybridMultilevel"/>
    <w:tmpl w:val="6A2695A6"/>
    <w:lvl w:ilvl="0" w:tplc="43E87126">
      <w:start w:val="1"/>
      <w:numFmt w:val="lowerLetter"/>
      <w:lvlText w:val="%1."/>
      <w:lvlJc w:val="left"/>
      <w:pPr>
        <w:tabs>
          <w:tab w:val="num" w:pos="558"/>
        </w:tabs>
        <w:ind w:left="630" w:hanging="360"/>
      </w:pPr>
      <w:rPr>
        <w:rFonts w:hint="default"/>
      </w:rPr>
    </w:lvl>
    <w:lvl w:ilvl="1" w:tplc="04090019">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13">
    <w:nsid w:val="6FC934B1"/>
    <w:multiLevelType w:val="multilevel"/>
    <w:tmpl w:val="F280C108"/>
    <w:lvl w:ilvl="0">
      <w:start w:val="1"/>
      <w:numFmt w:val="lowerLetter"/>
      <w:lvlText w:val="%1."/>
      <w:lvlJc w:val="left"/>
      <w:pPr>
        <w:tabs>
          <w:tab w:val="num" w:pos="558"/>
        </w:tabs>
        <w:ind w:left="630" w:hanging="360"/>
      </w:pPr>
      <w:rPr>
        <w:rFonts w:hint="default"/>
      </w:rPr>
    </w:lvl>
    <w:lvl w:ilvl="1">
      <w:start w:val="1"/>
      <w:numFmt w:val="lowerLetter"/>
      <w:lvlText w:val="%2."/>
      <w:lvlJc w:val="left"/>
      <w:pPr>
        <w:tabs>
          <w:tab w:val="num" w:pos="1350"/>
        </w:tabs>
        <w:ind w:left="1350" w:hanging="360"/>
      </w:pPr>
    </w:lvl>
    <w:lvl w:ilvl="2">
      <w:start w:val="1"/>
      <w:numFmt w:val="lowerRoman"/>
      <w:lvlText w:val="%3."/>
      <w:lvlJc w:val="right"/>
      <w:pPr>
        <w:tabs>
          <w:tab w:val="num" w:pos="2070"/>
        </w:tabs>
        <w:ind w:left="2070" w:hanging="180"/>
      </w:pPr>
    </w:lvl>
    <w:lvl w:ilvl="3">
      <w:start w:val="1"/>
      <w:numFmt w:val="decimal"/>
      <w:lvlText w:val="%4."/>
      <w:lvlJc w:val="left"/>
      <w:pPr>
        <w:tabs>
          <w:tab w:val="num" w:pos="2790"/>
        </w:tabs>
        <w:ind w:left="2790" w:hanging="360"/>
      </w:pPr>
    </w:lvl>
    <w:lvl w:ilvl="4">
      <w:start w:val="1"/>
      <w:numFmt w:val="lowerLetter"/>
      <w:lvlText w:val="%5."/>
      <w:lvlJc w:val="left"/>
      <w:pPr>
        <w:tabs>
          <w:tab w:val="num" w:pos="3510"/>
        </w:tabs>
        <w:ind w:left="3510" w:hanging="360"/>
      </w:pPr>
    </w:lvl>
    <w:lvl w:ilvl="5">
      <w:start w:val="1"/>
      <w:numFmt w:val="lowerRoman"/>
      <w:lvlText w:val="%6."/>
      <w:lvlJc w:val="right"/>
      <w:pPr>
        <w:tabs>
          <w:tab w:val="num" w:pos="4230"/>
        </w:tabs>
        <w:ind w:left="4230" w:hanging="180"/>
      </w:pPr>
    </w:lvl>
    <w:lvl w:ilvl="6">
      <w:start w:val="1"/>
      <w:numFmt w:val="decimal"/>
      <w:lvlText w:val="%7."/>
      <w:lvlJc w:val="left"/>
      <w:pPr>
        <w:tabs>
          <w:tab w:val="num" w:pos="4950"/>
        </w:tabs>
        <w:ind w:left="4950" w:hanging="360"/>
      </w:pPr>
    </w:lvl>
    <w:lvl w:ilvl="7">
      <w:start w:val="1"/>
      <w:numFmt w:val="lowerLetter"/>
      <w:lvlText w:val="%8."/>
      <w:lvlJc w:val="left"/>
      <w:pPr>
        <w:tabs>
          <w:tab w:val="num" w:pos="5670"/>
        </w:tabs>
        <w:ind w:left="5670" w:hanging="360"/>
      </w:pPr>
    </w:lvl>
    <w:lvl w:ilvl="8">
      <w:start w:val="1"/>
      <w:numFmt w:val="lowerRoman"/>
      <w:lvlText w:val="%9."/>
      <w:lvlJc w:val="right"/>
      <w:pPr>
        <w:tabs>
          <w:tab w:val="num" w:pos="6390"/>
        </w:tabs>
        <w:ind w:left="6390" w:hanging="180"/>
      </w:pPr>
    </w:lvl>
  </w:abstractNum>
  <w:abstractNum w:abstractNumId="14">
    <w:nsid w:val="7C465CE8"/>
    <w:multiLevelType w:val="hybridMultilevel"/>
    <w:tmpl w:val="DC789F54"/>
    <w:lvl w:ilvl="0" w:tplc="5B66DB6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2"/>
  </w:num>
  <w:num w:numId="3">
    <w:abstractNumId w:val="7"/>
  </w:num>
  <w:num w:numId="4">
    <w:abstractNumId w:val="11"/>
  </w:num>
  <w:num w:numId="5">
    <w:abstractNumId w:val="10"/>
  </w:num>
  <w:num w:numId="6">
    <w:abstractNumId w:val="4"/>
  </w:num>
  <w:num w:numId="7">
    <w:abstractNumId w:val="1"/>
  </w:num>
  <w:num w:numId="8">
    <w:abstractNumId w:val="14"/>
  </w:num>
  <w:num w:numId="9">
    <w:abstractNumId w:val="12"/>
  </w:num>
  <w:num w:numId="10">
    <w:abstractNumId w:val="3"/>
  </w:num>
  <w:num w:numId="11">
    <w:abstractNumId w:val="5"/>
  </w:num>
  <w:num w:numId="12">
    <w:abstractNumId w:val="6"/>
  </w:num>
  <w:num w:numId="13">
    <w:abstractNumId w:val="0"/>
  </w:num>
  <w:num w:numId="14">
    <w:abstractNumId w:val="13"/>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540"/>
    <w:rsid w:val="00137CFB"/>
    <w:rsid w:val="00226637"/>
    <w:rsid w:val="00291093"/>
    <w:rsid w:val="002A68C1"/>
    <w:rsid w:val="00406540"/>
    <w:rsid w:val="004714C4"/>
    <w:rsid w:val="00494553"/>
    <w:rsid w:val="00953AB2"/>
    <w:rsid w:val="00A55586"/>
    <w:rsid w:val="00B50AE6"/>
    <w:rsid w:val="00B5767D"/>
    <w:rsid w:val="00C92089"/>
    <w:rsid w:val="00F52549"/>
    <w:rsid w:val="00F71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2002-07-16T08:59:00Z</cp:lastPrinted>
  <dcterms:created xsi:type="dcterms:W3CDTF">2013-06-16T15:48:00Z</dcterms:created>
  <dcterms:modified xsi:type="dcterms:W3CDTF">2013-06-16T15:48:00Z</dcterms:modified>
</cp:coreProperties>
</file>