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0F5" w:rsidRDefault="003E78EA">
      <w:pPr>
        <w:tabs>
          <w:tab w:val="left" w:pos="360"/>
        </w:tabs>
        <w:jc w:val="center"/>
        <w:rPr>
          <w:rFonts w:ascii="Garamond" w:hAnsi="Garamond"/>
          <w:b/>
          <w:sz w:val="24"/>
        </w:rPr>
      </w:pPr>
      <w:bookmarkStart w:id="0" w:name="_GoBack"/>
      <w:bookmarkEnd w:id="0"/>
      <w:r>
        <w:rPr>
          <w:rFonts w:ascii="Garamond" w:hAnsi="Garamond"/>
          <w:b/>
          <w:sz w:val="24"/>
        </w:rPr>
        <w:t>LECTURE</w:t>
      </w:r>
      <w:r w:rsidR="007E10F5">
        <w:rPr>
          <w:rFonts w:ascii="Garamond" w:hAnsi="Garamond"/>
          <w:b/>
          <w:sz w:val="24"/>
        </w:rPr>
        <w:t xml:space="preserve"> 11</w:t>
      </w:r>
    </w:p>
    <w:p w:rsidR="007E10F5" w:rsidRDefault="007E10F5">
      <w:pPr>
        <w:tabs>
          <w:tab w:val="left" w:pos="360"/>
        </w:tabs>
        <w:jc w:val="center"/>
        <w:rPr>
          <w:rFonts w:ascii="Garamond" w:hAnsi="Garamond"/>
          <w:b/>
          <w:sz w:val="24"/>
        </w:rPr>
      </w:pPr>
      <w:r>
        <w:rPr>
          <w:rFonts w:ascii="Garamond" w:hAnsi="Garamond"/>
          <w:b/>
          <w:sz w:val="24"/>
        </w:rPr>
        <w:t>Designing and Implementing Branding Strategies</w:t>
      </w:r>
    </w:p>
    <w:p w:rsidR="007E10F5" w:rsidRDefault="007E10F5">
      <w:pPr>
        <w:tabs>
          <w:tab w:val="left" w:pos="360"/>
        </w:tabs>
        <w:rPr>
          <w:rFonts w:ascii="Garamond" w:hAnsi="Garamond"/>
          <w:sz w:val="24"/>
        </w:rPr>
      </w:pPr>
    </w:p>
    <w:p w:rsidR="007E10F5" w:rsidRDefault="007E10F5">
      <w:pPr>
        <w:tabs>
          <w:tab w:val="left" w:pos="360"/>
        </w:tabs>
        <w:rPr>
          <w:rFonts w:ascii="Garamond" w:hAnsi="Garamond"/>
          <w:sz w:val="24"/>
        </w:rPr>
      </w:pPr>
    </w:p>
    <w:p w:rsidR="007E10F5" w:rsidRDefault="007E10F5">
      <w:pPr>
        <w:pStyle w:val="Heading2"/>
        <w:rPr>
          <w:rFonts w:ascii="Garamond" w:hAnsi="Garamond"/>
          <w:u w:val="single"/>
        </w:rPr>
      </w:pPr>
      <w:r>
        <w:rPr>
          <w:rFonts w:ascii="Garamond" w:hAnsi="Garamond"/>
          <w:b/>
          <w:u w:val="single"/>
        </w:rPr>
        <w:t>Overview</w:t>
      </w:r>
    </w:p>
    <w:p w:rsidR="003E78EA" w:rsidRDefault="003E78EA" w:rsidP="00DF3B78">
      <w:pPr>
        <w:tabs>
          <w:tab w:val="left" w:pos="360"/>
        </w:tabs>
        <w:rPr>
          <w:rFonts w:ascii="Garamond" w:hAnsi="Garamond"/>
          <w:sz w:val="24"/>
        </w:rPr>
      </w:pPr>
    </w:p>
    <w:p w:rsidR="007E10F5" w:rsidRDefault="007E10F5" w:rsidP="00DF3B78">
      <w:pPr>
        <w:tabs>
          <w:tab w:val="left" w:pos="360"/>
        </w:tabs>
        <w:rPr>
          <w:rFonts w:ascii="Garamond" w:hAnsi="Garamond"/>
          <w:sz w:val="24"/>
        </w:rPr>
      </w:pPr>
      <w:r>
        <w:rPr>
          <w:rFonts w:ascii="Garamond" w:hAnsi="Garamond"/>
          <w:sz w:val="24"/>
        </w:rPr>
        <w:t>Firms have a variety of options available to them with respect to branding strategy, which refers to the nature and number of common and distinctive branding elements that can be applied to the products and services sold. Branding strategy is important as a means of enabling consumers to understand and connect with the brand, since it can help consumers organize a company’s products and services in their minds. This chapter introduces the concepts of the brand</w:t>
      </w:r>
      <w:r w:rsidR="00DF3B78">
        <w:rPr>
          <w:rFonts w:ascii="Garamond" w:hAnsi="Garamond"/>
          <w:sz w:val="24"/>
        </w:rPr>
        <w:t xml:space="preserve"> architecture</w:t>
      </w:r>
      <w:r>
        <w:rPr>
          <w:rFonts w:ascii="Garamond" w:hAnsi="Garamond"/>
          <w:sz w:val="24"/>
        </w:rPr>
        <w:t xml:space="preserve"> and the brand hierarchy, two tools that can help a company make decisions regarding branding strategy. </w:t>
      </w:r>
    </w:p>
    <w:p w:rsidR="007E10F5" w:rsidRDefault="007E10F5">
      <w:pPr>
        <w:tabs>
          <w:tab w:val="left" w:pos="360"/>
        </w:tabs>
        <w:rPr>
          <w:rFonts w:ascii="Garamond" w:hAnsi="Garamond"/>
          <w:sz w:val="24"/>
        </w:rPr>
      </w:pPr>
    </w:p>
    <w:p w:rsidR="007E10F5" w:rsidRDefault="00DF3B78">
      <w:pPr>
        <w:tabs>
          <w:tab w:val="left" w:pos="360"/>
        </w:tabs>
        <w:rPr>
          <w:rFonts w:ascii="Garamond" w:hAnsi="Garamond"/>
          <w:sz w:val="24"/>
        </w:rPr>
      </w:pPr>
      <w:r w:rsidRPr="00DF3B78">
        <w:rPr>
          <w:rFonts w:ascii="Garamond" w:hAnsi="Garamond"/>
          <w:sz w:val="24"/>
          <w:szCs w:val="24"/>
          <w:lang w:eastAsia="ja-JP"/>
        </w:rPr>
        <w:t>The Brand architec</w:t>
      </w:r>
      <w:r>
        <w:rPr>
          <w:rFonts w:ascii="Garamond" w:hAnsi="Garamond"/>
          <w:sz w:val="24"/>
          <w:szCs w:val="24"/>
          <w:lang w:eastAsia="ja-JP"/>
        </w:rPr>
        <w:t>t</w:t>
      </w:r>
      <w:r w:rsidRPr="00DF3B78">
        <w:rPr>
          <w:rFonts w:ascii="Garamond" w:hAnsi="Garamond"/>
          <w:sz w:val="24"/>
          <w:szCs w:val="24"/>
          <w:lang w:eastAsia="ja-JP"/>
        </w:rPr>
        <w:t>ure defines both brand boundaries and brand complexity.</w:t>
      </w:r>
      <w:r>
        <w:rPr>
          <w:rFonts w:ascii="Garamond" w:hAnsi="Garamond"/>
          <w:sz w:val="24"/>
          <w:szCs w:val="24"/>
          <w:lang w:eastAsia="ja-JP"/>
        </w:rPr>
        <w:t xml:space="preserve"> </w:t>
      </w:r>
      <w:r w:rsidR="007E10F5" w:rsidRPr="00DF3B78">
        <w:rPr>
          <w:rFonts w:ascii="Garamond" w:hAnsi="Garamond"/>
          <w:sz w:val="24"/>
        </w:rPr>
        <w:t>T</w:t>
      </w:r>
      <w:r w:rsidR="007E10F5">
        <w:rPr>
          <w:rFonts w:ascii="Garamond" w:hAnsi="Garamond"/>
          <w:sz w:val="24"/>
        </w:rPr>
        <w:t>he brand-product matrix is a graphical representation of all the products sold by a firm. Each row of the matrix is labeled with a brand name, while each column represents a product. Thus, the rows of the matrix correspond to brand lines (all the products sold under a particular brand name) while the columns correspond to product lines, a.k.a. brand portfolios, (all the brands marketed in particular product categories). A firm’s branding strategy can be characterized according to its breadth, which refers to the number and nature of products that bear the same brand name, and its depth, which refers to the number and nature of brands in the same product category. Marketers can use the brand-product matrix to determine whether and where to make connections across products and brands.</w:t>
      </w:r>
    </w:p>
    <w:p w:rsidR="007E10F5" w:rsidRDefault="007E10F5">
      <w:pPr>
        <w:tabs>
          <w:tab w:val="left" w:pos="360"/>
        </w:tabs>
        <w:rPr>
          <w:rFonts w:ascii="Garamond" w:hAnsi="Garamond"/>
          <w:sz w:val="24"/>
        </w:rPr>
      </w:pPr>
    </w:p>
    <w:p w:rsidR="007E10F5" w:rsidRDefault="007E10F5">
      <w:pPr>
        <w:tabs>
          <w:tab w:val="left" w:pos="360"/>
        </w:tabs>
        <w:rPr>
          <w:rFonts w:ascii="Garamond" w:hAnsi="Garamond"/>
          <w:sz w:val="24"/>
        </w:rPr>
      </w:pPr>
      <w:r>
        <w:rPr>
          <w:rFonts w:ascii="Garamond" w:hAnsi="Garamond"/>
          <w:sz w:val="24"/>
        </w:rPr>
        <w:t>A brand hierarchy visually illustrates the possible relationships that can be formed among the firm’s products through the selection of common and distinctive brand elements. The levels of the hierarchy might include the corporate or company brand at the top, followed by a family brand used in more than one product category, an individual brand that typically is restricted to one product category, and a modifier that designates a specific item or model. Because a company’s marketing activity may result in different types of associations becoming linked to the brand names at various levels of the hierarchy, each name has the potential to impact the equity of brands at levels above and below it.</w:t>
      </w:r>
    </w:p>
    <w:p w:rsidR="007E10F5" w:rsidRDefault="007E10F5">
      <w:pPr>
        <w:tabs>
          <w:tab w:val="left" w:pos="360"/>
        </w:tabs>
        <w:rPr>
          <w:rFonts w:ascii="Garamond" w:hAnsi="Garamond"/>
          <w:sz w:val="24"/>
        </w:rPr>
      </w:pPr>
    </w:p>
    <w:p w:rsidR="007E10F5" w:rsidRDefault="007E10F5">
      <w:pPr>
        <w:tabs>
          <w:tab w:val="left" w:pos="360"/>
        </w:tabs>
        <w:rPr>
          <w:rFonts w:ascii="Garamond" w:hAnsi="Garamond"/>
          <w:sz w:val="24"/>
        </w:rPr>
      </w:pPr>
      <w:r>
        <w:rPr>
          <w:rFonts w:ascii="Garamond" w:hAnsi="Garamond"/>
          <w:sz w:val="24"/>
        </w:rPr>
        <w:t xml:space="preserve">The choice of branding strategy depends upon a number of different factors, including corporate objectives and capabilities, consumer behavior, and competitive approaches. Consequently, strategies differ significantly between firms and even across products within firms. In addition to designating the optimal hierarchy, a company must also design marketing support programs that create the desired awareness and associations at each level. In general, associations for a higher-level brand should be relevant to as many brands below it as possible, while brands at the same level should be as differentiated as possible. </w:t>
      </w:r>
    </w:p>
    <w:p w:rsidR="00902701" w:rsidRDefault="00902701">
      <w:pPr>
        <w:tabs>
          <w:tab w:val="left" w:pos="360"/>
        </w:tabs>
        <w:rPr>
          <w:rFonts w:ascii="Garamond" w:hAnsi="Garamond"/>
          <w:sz w:val="24"/>
        </w:rPr>
      </w:pPr>
    </w:p>
    <w:p w:rsidR="00902701" w:rsidRDefault="00902701" w:rsidP="00902701">
      <w:pPr>
        <w:tabs>
          <w:tab w:val="left" w:pos="360"/>
        </w:tabs>
        <w:rPr>
          <w:rFonts w:ascii="Garamond" w:hAnsi="Garamond"/>
          <w:sz w:val="24"/>
        </w:rPr>
      </w:pPr>
      <w:r>
        <w:rPr>
          <w:rFonts w:ascii="Garamond" w:hAnsi="Garamond"/>
          <w:sz w:val="24"/>
        </w:rPr>
        <w:t>The chapter concludes by a discussion on the use of cause marketing to build brand equity. This section covers the advantages of cause marketing, cause marketing programs’ design, and green marketing.</w:t>
      </w:r>
    </w:p>
    <w:p w:rsidR="007E10F5" w:rsidRDefault="007E10F5">
      <w:pPr>
        <w:tabs>
          <w:tab w:val="left" w:pos="360"/>
        </w:tabs>
        <w:rPr>
          <w:rFonts w:ascii="Garamond" w:hAnsi="Garamond"/>
          <w:sz w:val="24"/>
        </w:rPr>
      </w:pPr>
    </w:p>
    <w:p w:rsidR="007E10F5" w:rsidRDefault="007E10F5" w:rsidP="00BC0F58">
      <w:pPr>
        <w:tabs>
          <w:tab w:val="left" w:pos="360"/>
        </w:tabs>
        <w:rPr>
          <w:rFonts w:ascii="Garamond" w:hAnsi="Garamond"/>
          <w:sz w:val="24"/>
        </w:rPr>
      </w:pPr>
      <w:r>
        <w:rPr>
          <w:rFonts w:ascii="Garamond" w:hAnsi="Garamond"/>
          <w:sz w:val="24"/>
        </w:rPr>
        <w:t xml:space="preserve">Brand Focus 11.0 </w:t>
      </w:r>
      <w:r w:rsidR="00BC0F58">
        <w:rPr>
          <w:rFonts w:ascii="Garamond" w:hAnsi="Garamond"/>
          <w:sz w:val="24"/>
        </w:rPr>
        <w:t xml:space="preserve">covers what to do in the event of a marketing crisis by presenting the case of Johnson &amp; Johnson’s handling of the 1982 Tylenol cyanide poisoning crisis. Through </w:t>
      </w:r>
      <w:r w:rsidR="00BC0F58">
        <w:rPr>
          <w:rFonts w:ascii="Garamond" w:hAnsi="Garamond"/>
          <w:sz w:val="24"/>
        </w:rPr>
        <w:lastRenderedPageBreak/>
        <w:t xml:space="preserve">rapid and measured response to the crisis, Tylenol was able to almost completely rebuild market share within six months of the scare. </w:t>
      </w:r>
    </w:p>
    <w:p w:rsidR="003E78EA" w:rsidRDefault="003E78EA">
      <w:pPr>
        <w:pStyle w:val="Heading1"/>
        <w:rPr>
          <w:rFonts w:ascii="Garamond" w:hAnsi="Garamond"/>
          <w:b/>
        </w:rPr>
      </w:pPr>
    </w:p>
    <w:p w:rsidR="007E10F5" w:rsidRDefault="007E10F5">
      <w:pPr>
        <w:pStyle w:val="Heading1"/>
        <w:rPr>
          <w:rFonts w:ascii="Garamond" w:hAnsi="Garamond"/>
        </w:rPr>
      </w:pPr>
      <w:r>
        <w:rPr>
          <w:rFonts w:ascii="Garamond" w:hAnsi="Garamond"/>
          <w:b/>
        </w:rPr>
        <w:t>Key take-away points</w:t>
      </w:r>
    </w:p>
    <w:p w:rsidR="007E10F5" w:rsidRDefault="007E10F5">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Branding strategy is important as a means of enabling consumers to understand and connect with the brand, since it can help consumers organize a company’s products and services in their minds.</w:t>
      </w:r>
    </w:p>
    <w:p w:rsidR="007E10F5" w:rsidRDefault="007E10F5">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Designing a brand strategy involves decisions regarding the number of levels to use, how brand elements at different levels will be combined for a given product, and how brand elements will be linked to multiple products.</w:t>
      </w:r>
    </w:p>
    <w:p w:rsidR="007E10F5" w:rsidRDefault="007E10F5">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Each successive level in a brand hierarchy allows the firm to communicate additional, specific information about products.</w:t>
      </w:r>
    </w:p>
    <w:p w:rsidR="007E10F5" w:rsidRDefault="007E10F5">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In general, associations for a higher-level brand should be relevant to as many brands below it as possible, while brands at the same level should be as differentiated as possible.</w:t>
      </w:r>
    </w:p>
    <w:p w:rsidR="007E10F5" w:rsidRDefault="007E10F5">
      <w:pPr>
        <w:pStyle w:val="Heading1"/>
        <w:jc w:val="center"/>
        <w:rPr>
          <w:rFonts w:ascii="Garamond" w:hAnsi="Garamond"/>
          <w:b/>
          <w:i/>
          <w:caps/>
          <w:u w:val="none"/>
        </w:rPr>
      </w:pPr>
      <w:r>
        <w:rPr>
          <w:rFonts w:ascii="Garamond" w:hAnsi="Garamond"/>
        </w:rPr>
        <w:br w:type="page"/>
      </w:r>
      <w:r w:rsidR="00EB7D99">
        <w:rPr>
          <w:rFonts w:ascii="Garamond" w:hAnsi="Garamond"/>
          <w:b/>
          <w:i/>
          <w:caps/>
          <w:u w:val="none"/>
        </w:rPr>
        <w:lastRenderedPageBreak/>
        <w:t>Branding Brief 11-10</w:t>
      </w:r>
    </w:p>
    <w:p w:rsidR="007E10F5" w:rsidRDefault="007E10F5">
      <w:pPr>
        <w:pStyle w:val="Heading1"/>
        <w:jc w:val="center"/>
        <w:rPr>
          <w:rFonts w:ascii="Garamond" w:hAnsi="Garamond"/>
          <w:i/>
        </w:rPr>
      </w:pPr>
      <w:r>
        <w:rPr>
          <w:rFonts w:ascii="Garamond" w:hAnsi="Garamond"/>
          <w:b/>
          <w:i/>
          <w:caps/>
          <w:u w:val="none"/>
        </w:rPr>
        <w:t xml:space="preserve">cleaNing up the philip morris image </w:t>
      </w:r>
      <w:r>
        <w:rPr>
          <w:rStyle w:val="FootnoteReference"/>
          <w:rFonts w:ascii="Garamond" w:hAnsi="Garamond"/>
          <w:b/>
          <w:i/>
          <w:caps/>
          <w:u w:val="none"/>
        </w:rPr>
        <w:footnoteReference w:id="1"/>
      </w:r>
    </w:p>
    <w:p w:rsidR="007E10F5" w:rsidRDefault="007E10F5">
      <w:pPr>
        <w:pStyle w:val="Header"/>
        <w:tabs>
          <w:tab w:val="clear" w:pos="4320"/>
          <w:tab w:val="clear" w:pos="8640"/>
        </w:tabs>
        <w:rPr>
          <w:rFonts w:ascii="Garamond" w:hAnsi="Garamond"/>
          <w:sz w:val="24"/>
        </w:rPr>
      </w:pPr>
    </w:p>
    <w:p w:rsidR="007E10F5" w:rsidRDefault="007E10F5">
      <w:pPr>
        <w:rPr>
          <w:rFonts w:ascii="Garamond" w:hAnsi="Garamond"/>
          <w:sz w:val="24"/>
        </w:rPr>
      </w:pPr>
    </w:p>
    <w:p w:rsidR="007E10F5" w:rsidRDefault="007E10F5">
      <w:pPr>
        <w:rPr>
          <w:rFonts w:ascii="Garamond" w:hAnsi="Garamond"/>
          <w:sz w:val="24"/>
        </w:rPr>
      </w:pPr>
      <w:r>
        <w:rPr>
          <w:rFonts w:ascii="Garamond" w:hAnsi="Garamond"/>
          <w:sz w:val="24"/>
        </w:rPr>
        <w:t>Philip Morris, a company best known for its tobacco brands such as Marlboro and Virginia Slims, drew a significant amount of negative publicity during the state lawsuits against tobacco companies in the 1990s.  In response to the publicity crisis, the company initiated an image campaign in 1999 using ads that detailed the company’s commitment to one of four issues: hunger, disaster relief, underage tobacco use, and domestic violence.  Philip Morris has donated $60 million a year to support these causes, and its annual $100 image campaign advertises its involvement using the tagline “Working to make a difference. The people of Philip Morris.”  The ads also emphasize the humanitarian efforts of two other companies owned by Philip Morris – Kraft and Miller Brewing.  With the campaign, the company hoped to communicate to consumers that it is more than a tobacco company (see Figure 11-21).</w:t>
      </w:r>
    </w:p>
    <w:p w:rsidR="007E10F5" w:rsidRDefault="007E10F5">
      <w:pPr>
        <w:rPr>
          <w:rFonts w:ascii="Garamond" w:hAnsi="Garamond"/>
          <w:sz w:val="24"/>
        </w:rPr>
      </w:pPr>
    </w:p>
    <w:p w:rsidR="007E10F5" w:rsidRDefault="007E10F5">
      <w:pPr>
        <w:pStyle w:val="BodyText"/>
        <w:tabs>
          <w:tab w:val="clear" w:pos="360"/>
        </w:tabs>
        <w:rPr>
          <w:rFonts w:ascii="Garamond" w:hAnsi="Garamond"/>
        </w:rPr>
      </w:pPr>
      <w:r>
        <w:rPr>
          <w:rFonts w:ascii="Garamond" w:hAnsi="Garamond"/>
        </w:rPr>
        <w:t xml:space="preserve">In a separate program, Philip Morris spent $100 million on its “Think, Don’t Smoke” campaign against youth smoking.  Philip Morris also developed a website (www.philipmorris.com) that provided information on the links between smoking and health problems like cancer and heart disease.  The site contained links to U.S. Surgeon General’s reports, the World Health Organization, and the American Cancer Society.  “This is going to go on for a long time,” said, Victor Han, vice president, corporate communications at Philip Morris.  He added, “We expect people to be skeptical.”  Indeed, some critics were skeptical.  Martyn Straw, president of Interbrand said, “There’s a difference between doing something and telling people you’re doing something.” </w:t>
      </w:r>
    </w:p>
    <w:p w:rsidR="007E10F5" w:rsidRDefault="007E10F5">
      <w:pPr>
        <w:pStyle w:val="BodyTextIndent2"/>
      </w:pPr>
      <w:r>
        <w:t xml:space="preserve"> </w:t>
      </w:r>
    </w:p>
    <w:p w:rsidR="007E10F5" w:rsidRDefault="007E10F5">
      <w:pPr>
        <w:rPr>
          <w:rFonts w:ascii="Garamond" w:hAnsi="Garamond"/>
          <w:sz w:val="24"/>
        </w:rPr>
      </w:pPr>
      <w:r>
        <w:rPr>
          <w:rFonts w:ascii="Garamond" w:hAnsi="Garamond"/>
          <w:sz w:val="24"/>
        </w:rPr>
        <w:t xml:space="preserve">In 2001, Philip Morris announced plans to change its name to Altria.  A new logo, a multicolored square resembling a mosaic with the word Altria imprinted on it, was to replace the old Philip Morris crest.  The name Altria, a coined name derived from the Latin </w:t>
      </w:r>
      <w:smartTag w:uri="urn:schemas-microsoft-com:office:smarttags" w:element="place">
        <w:smartTag w:uri="urn:schemas-microsoft-com:office:smarttags" w:element="City">
          <w:r>
            <w:rPr>
              <w:rFonts w:ascii="Garamond" w:hAnsi="Garamond"/>
              <w:i/>
              <w:sz w:val="24"/>
            </w:rPr>
            <w:t>altus</w:t>
          </w:r>
        </w:smartTag>
      </w:smartTag>
      <w:r>
        <w:rPr>
          <w:rFonts w:ascii="Garamond" w:hAnsi="Garamond"/>
          <w:sz w:val="24"/>
        </w:rPr>
        <w:t xml:space="preserve">, or “higher,” was seen by many as a calculated move by Philip Morris to distance itself from its heritage as a tobacco firm.  A marketing executive with Interbrand applauded the move, saying “its about time.”  Another expert cautioned that the company would face the challenge of convincing people “that their new brand is meaningful.” </w:t>
      </w:r>
    </w:p>
    <w:p w:rsidR="007E10F5" w:rsidRDefault="007E10F5">
      <w:pPr>
        <w:pStyle w:val="FootnoteText"/>
        <w:rPr>
          <w:rFonts w:ascii="Garamond" w:hAnsi="Garamond"/>
          <w:sz w:val="24"/>
        </w:rPr>
      </w:pPr>
    </w:p>
    <w:p w:rsidR="007E10F5" w:rsidRDefault="007E10F5">
      <w:pPr>
        <w:pStyle w:val="FootnoteText"/>
        <w:rPr>
          <w:rFonts w:ascii="Garamond" w:hAnsi="Garamond"/>
          <w:sz w:val="24"/>
        </w:rPr>
      </w:pPr>
    </w:p>
    <w:p w:rsidR="007E10F5" w:rsidRDefault="007E10F5">
      <w:pPr>
        <w:spacing w:line="240" w:lineRule="atLeast"/>
        <w:rPr>
          <w:rFonts w:ascii="Garamond" w:hAnsi="Garamond"/>
          <w:sz w:val="24"/>
        </w:rPr>
      </w:pPr>
    </w:p>
    <w:p w:rsidR="007E10F5" w:rsidRDefault="007E10F5">
      <w:pPr>
        <w:rPr>
          <w:rFonts w:ascii="Garamond" w:hAnsi="Garamond"/>
          <w:sz w:val="24"/>
        </w:rPr>
      </w:pPr>
    </w:p>
    <w:p w:rsidR="007E10F5" w:rsidRDefault="007E10F5">
      <w:pPr>
        <w:tabs>
          <w:tab w:val="left" w:pos="360"/>
        </w:tabs>
        <w:ind w:left="360" w:hanging="360"/>
        <w:rPr>
          <w:rFonts w:ascii="Garamond" w:hAnsi="Garamond"/>
          <w:sz w:val="24"/>
        </w:rPr>
      </w:pPr>
    </w:p>
    <w:sectPr w:rsidR="007E10F5" w:rsidSect="0046400C">
      <w:headerReference w:type="even" r:id="rId8"/>
      <w:footerReference w:type="even" r:id="rId9"/>
      <w:footerReference w:type="default" r:id="rId10"/>
      <w:pgSz w:w="12240" w:h="15840"/>
      <w:pgMar w:top="1440" w:right="1800" w:bottom="1440" w:left="1800" w:header="720" w:footer="720" w:gutter="0"/>
      <w:pgNumType w:start="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F09" w:rsidRDefault="00B73F09">
      <w:r>
        <w:separator/>
      </w:r>
    </w:p>
  </w:endnote>
  <w:endnote w:type="continuationSeparator" w:id="0">
    <w:p w:rsidR="00B73F09" w:rsidRDefault="00B73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78" w:rsidRDefault="00DF3B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F3B78" w:rsidRDefault="00DF3B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78" w:rsidRDefault="00DF3B78">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9E3D25">
      <w:rPr>
        <w:rStyle w:val="PageNumber"/>
        <w:rFonts w:ascii="Times New Roman" w:hAnsi="Times New Roman"/>
        <w:noProof/>
        <w:sz w:val="24"/>
      </w:rPr>
      <w:t>55</w:t>
    </w:r>
    <w:r>
      <w:rPr>
        <w:rStyle w:val="PageNumber"/>
        <w:rFonts w:ascii="Times New Roman" w:hAnsi="Times New Roman"/>
        <w:sz w:val="24"/>
      </w:rPr>
      <w:fldChar w:fldCharType="end"/>
    </w:r>
  </w:p>
  <w:p w:rsidR="00DF3B78" w:rsidRDefault="00DF3B7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F09" w:rsidRDefault="00B73F09">
      <w:r>
        <w:separator/>
      </w:r>
    </w:p>
  </w:footnote>
  <w:footnote w:type="continuationSeparator" w:id="0">
    <w:p w:rsidR="00B73F09" w:rsidRDefault="00B73F09">
      <w:r>
        <w:continuationSeparator/>
      </w:r>
    </w:p>
  </w:footnote>
  <w:footnote w:id="1">
    <w:p w:rsidR="00DF3B78" w:rsidRDefault="00DF3B78">
      <w:pPr>
        <w:pStyle w:val="FootnoteText"/>
      </w:pPr>
      <w:r>
        <w:rPr>
          <w:rStyle w:val="FootnoteReference"/>
          <w:rFonts w:ascii="Garamond" w:hAnsi="Garamond"/>
        </w:rPr>
        <w:footnoteRef/>
      </w:r>
      <w:r>
        <w:rPr>
          <w:rFonts w:ascii="Garamond" w:hAnsi="Garamond"/>
        </w:rPr>
        <w:t xml:space="preserve"> Ellen Simon. “Philip Morris Investing Millions in New Image.” </w:t>
      </w:r>
      <w:r>
        <w:rPr>
          <w:rFonts w:ascii="Garamond" w:hAnsi="Garamond"/>
          <w:i/>
        </w:rPr>
        <w:t>The Star-Ledger</w:t>
      </w:r>
      <w:r>
        <w:rPr>
          <w:rFonts w:ascii="Garamond" w:hAnsi="Garamond"/>
        </w:rPr>
        <w:t xml:space="preserve">, </w:t>
      </w:r>
      <w:smartTag w:uri="urn:schemas-microsoft-com:office:smarttags" w:element="date">
        <w:smartTagPr>
          <w:attr w:name="Year" w:val="2000"/>
          <w:attr w:name="Day" w:val="2"/>
          <w:attr w:name="Month" w:val="7"/>
        </w:smartTagPr>
        <w:r>
          <w:rPr>
            <w:rFonts w:ascii="Garamond" w:hAnsi="Garamond"/>
          </w:rPr>
          <w:t>July 2, 2000</w:t>
        </w:r>
      </w:smartTag>
      <w:r>
        <w:rPr>
          <w:rFonts w:ascii="Garamond" w:hAnsi="Garamond"/>
        </w:rPr>
        <w:t xml:space="preserve">; Teresa F. Lindeman. “Philip Morris Wants You to Know, It Makes Jell-O and Hot Dogs, Too.” </w:t>
      </w:r>
      <w:smartTag w:uri="urn:schemas-microsoft-com:office:smarttags" w:element="place">
        <w:smartTag w:uri="urn:schemas-microsoft-com:office:smarttags" w:element="City">
          <w:r>
            <w:rPr>
              <w:rFonts w:ascii="Garamond" w:hAnsi="Garamond"/>
              <w:i/>
            </w:rPr>
            <w:t>Pittsburgh</w:t>
          </w:r>
        </w:smartTag>
      </w:smartTag>
      <w:r>
        <w:rPr>
          <w:rFonts w:ascii="Garamond" w:hAnsi="Garamond"/>
          <w:i/>
        </w:rPr>
        <w:t xml:space="preserve"> Post-Gazette</w:t>
      </w:r>
      <w:r>
        <w:rPr>
          <w:rFonts w:ascii="Garamond" w:hAnsi="Garamond"/>
        </w:rPr>
        <w:t xml:space="preserve">, </w:t>
      </w:r>
      <w:smartTag w:uri="urn:schemas-microsoft-com:office:smarttags" w:element="date">
        <w:smartTagPr>
          <w:attr w:name="Year" w:val="1999"/>
          <w:attr w:name="Day" w:val="22"/>
          <w:attr w:name="Month" w:val="10"/>
        </w:smartTagPr>
        <w:r>
          <w:rPr>
            <w:rFonts w:ascii="Garamond" w:hAnsi="Garamond"/>
          </w:rPr>
          <w:t>October 22, 1999</w:t>
        </w:r>
      </w:smartTag>
      <w:r>
        <w:rPr>
          <w:rFonts w:ascii="Garamond" w:hAnsi="Garamond"/>
        </w:rPr>
        <w:t xml:space="preserve">; Stuart Elliot. “Tired of Being a Villain, Philip Morris Works on Its Image.” </w:t>
      </w:r>
      <w:r>
        <w:rPr>
          <w:rFonts w:ascii="Garamond" w:hAnsi="Garamond"/>
          <w:i/>
        </w:rPr>
        <w:t>New York Times</w:t>
      </w:r>
      <w:r>
        <w:rPr>
          <w:rFonts w:ascii="Garamond" w:hAnsi="Garamond"/>
        </w:rPr>
        <w:t xml:space="preserve">, </w:t>
      </w:r>
      <w:smartTag w:uri="urn:schemas-microsoft-com:office:smarttags" w:element="date">
        <w:smartTagPr>
          <w:attr w:name="Year" w:val="1999"/>
          <w:attr w:name="Day" w:val="11"/>
          <w:attr w:name="Month" w:val="11"/>
        </w:smartTagPr>
        <w:r>
          <w:rPr>
            <w:rFonts w:ascii="Garamond" w:hAnsi="Garamond"/>
          </w:rPr>
          <w:t>November 11, 1999</w:t>
        </w:r>
      </w:smartTag>
      <w:r>
        <w:rPr>
          <w:rFonts w:ascii="Garamond" w:hAnsi="Garamond"/>
        </w:rPr>
        <w:t xml:space="preserve">; Philip B. Clark. “Marketing Execs Like Sound of ‘Altria.’” B to B, </w:t>
      </w:r>
      <w:smartTag w:uri="urn:schemas-microsoft-com:office:smarttags" w:element="date">
        <w:smartTagPr>
          <w:attr w:name="Year" w:val="2001"/>
          <w:attr w:name="Day" w:val="10"/>
          <w:attr w:name="Month" w:val="12"/>
        </w:smartTagPr>
        <w:r>
          <w:rPr>
            <w:rFonts w:ascii="Garamond" w:hAnsi="Garamond"/>
          </w:rPr>
          <w:t>December 10, 2001</w:t>
        </w:r>
      </w:smartTag>
      <w:r>
        <w:rPr>
          <w:rFonts w:ascii="Garamond" w:hAnsi="Garamond"/>
        </w:rPr>
        <w:t>, p. 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B78" w:rsidRDefault="00DF3B7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F3B78" w:rsidRDefault="00DF3B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335"/>
    <w:rsid w:val="00065BAE"/>
    <w:rsid w:val="00107335"/>
    <w:rsid w:val="00242A3B"/>
    <w:rsid w:val="003E78EA"/>
    <w:rsid w:val="0046400C"/>
    <w:rsid w:val="00726B1C"/>
    <w:rsid w:val="007E10F5"/>
    <w:rsid w:val="008E0ABE"/>
    <w:rsid w:val="00902701"/>
    <w:rsid w:val="00927B60"/>
    <w:rsid w:val="009667B9"/>
    <w:rsid w:val="009E3D25"/>
    <w:rsid w:val="00B73F09"/>
    <w:rsid w:val="00BC0F58"/>
    <w:rsid w:val="00DC7629"/>
    <w:rsid w:val="00DE6EEA"/>
    <w:rsid w:val="00DE7279"/>
    <w:rsid w:val="00DF3B78"/>
    <w:rsid w:val="00E063F7"/>
    <w:rsid w:val="00EB7D99"/>
    <w:rsid w:val="00F04B49"/>
    <w:rsid w:val="00F43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customStyle="1" w:styleId="TableGrid2">
    <w:name w:val="Table Grid2"/>
    <w:basedOn w:val="HTMLPreformatted"/>
    <w:rsid w:val="00DC7629"/>
    <w:pPr>
      <w:ind w:firstLine="360"/>
      <w:jc w:val="both"/>
    </w:pPr>
    <w:rPr>
      <w:rFonts w:ascii="Times New Roman" w:hAnsi="Times New Roman" w:cs="Times New Roman"/>
      <w:noProof/>
    </w:rPr>
  </w:style>
  <w:style w:type="paragraph" w:customStyle="1" w:styleId="TableTheme2">
    <w:name w:val="Table Theme2"/>
    <w:basedOn w:val="z-TopofForm"/>
    <w:rsid w:val="00DC7629"/>
    <w:pPr>
      <w:pBdr>
        <w:bottom w:val="none" w:sz="0" w:space="0" w:color="auto"/>
      </w:pBdr>
      <w:tabs>
        <w:tab w:val="decimal" w:pos="240"/>
        <w:tab w:val="left" w:pos="360"/>
      </w:tabs>
      <w:ind w:left="360" w:hanging="360"/>
      <w:jc w:val="both"/>
    </w:pPr>
    <w:rPr>
      <w:rFonts w:ascii="Times New Roman" w:hAnsi="Times New Roman" w:cs="Times New Roman"/>
      <w:noProof/>
      <w:vanish w:val="0"/>
      <w:sz w:val="20"/>
      <w:szCs w:val="20"/>
    </w:rPr>
  </w:style>
  <w:style w:type="paragraph" w:styleId="HTMLPreformatted">
    <w:name w:val="HTML Preformatted"/>
    <w:basedOn w:val="Normal"/>
    <w:rsid w:val="00DC7629"/>
    <w:rPr>
      <w:rFonts w:ascii="Courier New" w:hAnsi="Courier New" w:cs="Courier New"/>
    </w:rPr>
  </w:style>
  <w:style w:type="paragraph" w:styleId="z-TopofForm">
    <w:name w:val="HTML Top of Form"/>
    <w:basedOn w:val="Normal"/>
    <w:next w:val="Normal"/>
    <w:hidden/>
    <w:rsid w:val="00DC7629"/>
    <w:pPr>
      <w:pBdr>
        <w:bottom w:val="single" w:sz="6" w:space="1" w:color="auto"/>
      </w:pBdr>
      <w:jc w:val="center"/>
    </w:pPr>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customStyle="1" w:styleId="TableGrid2">
    <w:name w:val="Table Grid2"/>
    <w:basedOn w:val="HTMLPreformatted"/>
    <w:rsid w:val="00DC7629"/>
    <w:pPr>
      <w:ind w:firstLine="360"/>
      <w:jc w:val="both"/>
    </w:pPr>
    <w:rPr>
      <w:rFonts w:ascii="Times New Roman" w:hAnsi="Times New Roman" w:cs="Times New Roman"/>
      <w:noProof/>
    </w:rPr>
  </w:style>
  <w:style w:type="paragraph" w:customStyle="1" w:styleId="TableTheme2">
    <w:name w:val="Table Theme2"/>
    <w:basedOn w:val="z-TopofForm"/>
    <w:rsid w:val="00DC7629"/>
    <w:pPr>
      <w:pBdr>
        <w:bottom w:val="none" w:sz="0" w:space="0" w:color="auto"/>
      </w:pBdr>
      <w:tabs>
        <w:tab w:val="decimal" w:pos="240"/>
        <w:tab w:val="left" w:pos="360"/>
      </w:tabs>
      <w:ind w:left="360" w:hanging="360"/>
      <w:jc w:val="both"/>
    </w:pPr>
    <w:rPr>
      <w:rFonts w:ascii="Times New Roman" w:hAnsi="Times New Roman" w:cs="Times New Roman"/>
      <w:noProof/>
      <w:vanish w:val="0"/>
      <w:sz w:val="20"/>
      <w:szCs w:val="20"/>
    </w:rPr>
  </w:style>
  <w:style w:type="paragraph" w:styleId="HTMLPreformatted">
    <w:name w:val="HTML Preformatted"/>
    <w:basedOn w:val="Normal"/>
    <w:rsid w:val="00DC7629"/>
    <w:rPr>
      <w:rFonts w:ascii="Courier New" w:hAnsi="Courier New" w:cs="Courier New"/>
    </w:rPr>
  </w:style>
  <w:style w:type="paragraph" w:styleId="z-TopofForm">
    <w:name w:val="HTML Top of Form"/>
    <w:basedOn w:val="Normal"/>
    <w:next w:val="Normal"/>
    <w:hidden/>
    <w:rsid w:val="00DC7629"/>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2002-07-16T08:59:00Z</cp:lastPrinted>
  <dcterms:created xsi:type="dcterms:W3CDTF">2013-06-16T15:49:00Z</dcterms:created>
  <dcterms:modified xsi:type="dcterms:W3CDTF">2013-06-16T15:49:00Z</dcterms:modified>
</cp:coreProperties>
</file>