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AED" w:rsidRDefault="00AC7AED" w:rsidP="00AC7AED">
      <w:pPr>
        <w:tabs>
          <w:tab w:val="left" w:pos="360"/>
        </w:tabs>
        <w:jc w:val="center"/>
        <w:rPr>
          <w:rFonts w:ascii="Garamond" w:hAnsi="Garamond"/>
          <w:b/>
          <w:sz w:val="24"/>
        </w:rPr>
      </w:pPr>
      <w:r>
        <w:rPr>
          <w:rFonts w:ascii="Garamond" w:hAnsi="Garamond"/>
          <w:b/>
          <w:sz w:val="24"/>
        </w:rPr>
        <w:t>Chapter 1</w:t>
      </w:r>
    </w:p>
    <w:p w:rsidR="00AC7AED" w:rsidRDefault="00AC7AED" w:rsidP="00AC7AED">
      <w:pPr>
        <w:tabs>
          <w:tab w:val="left" w:pos="360"/>
        </w:tabs>
        <w:jc w:val="center"/>
        <w:rPr>
          <w:rFonts w:ascii="Garamond" w:hAnsi="Garamond"/>
          <w:sz w:val="24"/>
        </w:rPr>
      </w:pPr>
      <w:r>
        <w:rPr>
          <w:rFonts w:ascii="Garamond" w:hAnsi="Garamond"/>
          <w:b/>
          <w:sz w:val="24"/>
        </w:rPr>
        <w:t>Brands &amp; Brand Management</w:t>
      </w:r>
    </w:p>
    <w:p w:rsidR="00AC7AED" w:rsidRDefault="00AC7AED" w:rsidP="00AC7AED">
      <w:pPr>
        <w:tabs>
          <w:tab w:val="left" w:pos="360"/>
        </w:tabs>
        <w:rPr>
          <w:rFonts w:ascii="Garamond" w:hAnsi="Garamond"/>
          <w:sz w:val="24"/>
        </w:rPr>
      </w:pPr>
    </w:p>
    <w:p w:rsidR="00AC7AED" w:rsidRDefault="00AC7AED" w:rsidP="00AC7AED">
      <w:pPr>
        <w:pStyle w:val="Heading1"/>
        <w:rPr>
          <w:rFonts w:ascii="Garamond" w:hAnsi="Garamond"/>
          <w:b/>
        </w:rPr>
      </w:pPr>
      <w:r>
        <w:rPr>
          <w:rFonts w:ascii="Garamond" w:hAnsi="Garamond"/>
          <w:b/>
        </w:rPr>
        <w:t>Overview</w:t>
      </w:r>
    </w:p>
    <w:p w:rsidR="00AC7AED" w:rsidRDefault="00AC7AED" w:rsidP="00AC7AED">
      <w:pPr>
        <w:tabs>
          <w:tab w:val="left" w:pos="360"/>
        </w:tabs>
        <w:rPr>
          <w:rFonts w:ascii="Garamond" w:hAnsi="Garamond"/>
          <w:sz w:val="24"/>
        </w:rPr>
      </w:pPr>
      <w:r>
        <w:rPr>
          <w:rFonts w:ascii="Garamond" w:hAnsi="Garamond"/>
          <w:sz w:val="24"/>
        </w:rPr>
        <w:t xml:space="preserve">This chapter sets up the rationale for the book. Because brands are so valuable to the firms that manufacture them and the consumers who purchase them, and because the marketplace has become increasingly complex and competitive, brand management is more important and challenging now than it ever has been. Brand managers face a seemingly unlimited number of options and opportunities with respect to product, price, place and promotion strategies. But they also face increased risk as they strive to deal with sea changes in the marketing environment, including the rise of private labels, media fragmentation, pressure for short-term results, shifting consumer preferences, and technological advancements that level the product feature playing field, to name just a few. </w:t>
      </w:r>
    </w:p>
    <w:p w:rsidR="00AC7AED" w:rsidRDefault="00AC7AED" w:rsidP="00AC7AED">
      <w:pPr>
        <w:tabs>
          <w:tab w:val="left" w:pos="360"/>
        </w:tabs>
        <w:rPr>
          <w:rFonts w:ascii="Garamond" w:hAnsi="Garamond"/>
          <w:sz w:val="24"/>
        </w:rPr>
      </w:pPr>
    </w:p>
    <w:p w:rsidR="00AC7AED" w:rsidRDefault="00AC7AED" w:rsidP="00AC7AED">
      <w:pPr>
        <w:tabs>
          <w:tab w:val="left" w:pos="360"/>
        </w:tabs>
        <w:rPr>
          <w:rFonts w:ascii="Garamond" w:hAnsi="Garamond"/>
          <w:sz w:val="24"/>
        </w:rPr>
      </w:pPr>
      <w:r>
        <w:rPr>
          <w:rFonts w:ascii="Garamond" w:hAnsi="Garamond"/>
          <w:sz w:val="24"/>
        </w:rPr>
        <w:t xml:space="preserve">Despite these pressures, many brands continue to grow and flourish, as evidenced by the global successes of such mega-names as Nike, Disney, Mercedes, and others. Moreover, even categories that heretofore had been thought of as consisting of mundane commodity products now contain brands, including </w:t>
      </w:r>
      <w:smartTag w:uri="urn:schemas-microsoft-com:office:smarttags" w:element="place">
        <w:smartTag w:uri="urn:schemas-microsoft-com:office:smarttags" w:element="City">
          <w:r>
            <w:rPr>
              <w:rFonts w:ascii="Garamond" w:hAnsi="Garamond"/>
              <w:sz w:val="24"/>
            </w:rPr>
            <w:t>Campbell</w:t>
          </w:r>
        </w:smartTag>
      </w:smartTag>
      <w:r>
        <w:rPr>
          <w:rFonts w:ascii="Garamond" w:hAnsi="Garamond"/>
          <w:sz w:val="24"/>
        </w:rPr>
        <w:t xml:space="preserve">’s mushrooms, Blue Rhino propane gas, and Perdue chickens. </w:t>
      </w:r>
    </w:p>
    <w:p w:rsidR="00AC7AED" w:rsidRDefault="00AC7AED" w:rsidP="00AC7AED">
      <w:pPr>
        <w:tabs>
          <w:tab w:val="left" w:pos="360"/>
        </w:tabs>
        <w:rPr>
          <w:rFonts w:ascii="Garamond" w:hAnsi="Garamond"/>
          <w:sz w:val="24"/>
        </w:rPr>
      </w:pPr>
    </w:p>
    <w:p w:rsidR="00AC7AED" w:rsidRDefault="00AC7AED" w:rsidP="00AC7AED">
      <w:pPr>
        <w:pStyle w:val="BodyText"/>
        <w:rPr>
          <w:rFonts w:ascii="Garamond" w:hAnsi="Garamond"/>
        </w:rPr>
      </w:pPr>
      <w:r>
        <w:rPr>
          <w:rFonts w:ascii="Garamond" w:hAnsi="Garamond"/>
        </w:rPr>
        <w:t xml:space="preserve">Chapter 1 also indicates that by focusing specifically on brands, this book enables students to gain valuable knowledge, broader perspectives, and more strategic insights than in a more general marketing text. The chapter introduces the concept of a brand as an identifiable and differentiated good or service. Brands offer tangible and intangible benefits to the companies </w:t>
      </w:r>
      <w:proofErr w:type="gramStart"/>
      <w:r>
        <w:rPr>
          <w:rFonts w:ascii="Garamond" w:hAnsi="Garamond"/>
        </w:rPr>
        <w:t>who</w:t>
      </w:r>
      <w:proofErr w:type="gramEnd"/>
      <w:r>
        <w:rPr>
          <w:rFonts w:ascii="Garamond" w:hAnsi="Garamond"/>
        </w:rPr>
        <w:t xml:space="preserve"> manufacture them, the retailers who sell them, and the consumers who buy them. Examples of strong brands given in the text include not only products and services, but also people, places, and sports, art, and entertainment industries. The chapter describes some of the past and present challenges faced by brands (such as those noted above), and states that the purpose of the book is to set forth principles, models and frameworks that will help guide managers through these challenges as they plan and execute brand strategies. </w:t>
      </w:r>
    </w:p>
    <w:p w:rsidR="00AC7AED" w:rsidRDefault="00AC7AED" w:rsidP="00AC7AED">
      <w:pPr>
        <w:pStyle w:val="BodyText"/>
        <w:rPr>
          <w:rFonts w:ascii="Garamond" w:hAnsi="Garamond"/>
        </w:rPr>
      </w:pPr>
    </w:p>
    <w:p w:rsidR="00AC7AED" w:rsidRDefault="00AC7AED" w:rsidP="00AC7AED">
      <w:pPr>
        <w:pStyle w:val="BodyText"/>
        <w:rPr>
          <w:rFonts w:ascii="Garamond" w:hAnsi="Garamond"/>
        </w:rPr>
      </w:pPr>
      <w:r>
        <w:rPr>
          <w:rFonts w:ascii="Garamond" w:hAnsi="Garamond"/>
        </w:rPr>
        <w:t xml:space="preserve">The chapter details the three main factors that contribute to brand equity: the initial choices for the brand elements or identities making up the brand; the way the brand is integrated into the supporting marketing program; and the associations indirectly transferred to the brand by linking the brand to some other entity (e.g., the company, country of origin, channel of distribution, or another brand). Several strategic imperatives for effective brand equity management are introduced in the chapter, namely the brand hierarchy, the brand-product matrix, and policies regarding the strengthening of the brand over time and over geographical boundaries. </w:t>
      </w:r>
    </w:p>
    <w:p w:rsidR="00AC7AED" w:rsidRDefault="00AC7AED" w:rsidP="00AC7AED">
      <w:pPr>
        <w:tabs>
          <w:tab w:val="left" w:pos="360"/>
        </w:tabs>
        <w:rPr>
          <w:rFonts w:ascii="Garamond" w:hAnsi="Garamond"/>
          <w:sz w:val="24"/>
        </w:rPr>
      </w:pPr>
    </w:p>
    <w:p w:rsidR="00AC7AED" w:rsidRDefault="00AC7AED" w:rsidP="00AC7AED">
      <w:pPr>
        <w:tabs>
          <w:tab w:val="left" w:pos="360"/>
        </w:tabs>
        <w:rPr>
          <w:rFonts w:ascii="Garamond" w:hAnsi="Garamond"/>
          <w:sz w:val="24"/>
        </w:rPr>
      </w:pPr>
      <w:r>
        <w:rPr>
          <w:rFonts w:ascii="Garamond" w:hAnsi="Garamond"/>
          <w:sz w:val="24"/>
        </w:rPr>
        <w:t xml:space="preserve">In this chapter, the strategic brand management process is described. The strategic brand management process involves four main steps: identifying and establishing brand positioning and values, planning and implementing brand marketing programs, measuring and interpreting brand performance, and growing and sustaining brand equity. </w:t>
      </w:r>
    </w:p>
    <w:p w:rsidR="00AC7AED" w:rsidRDefault="00AC7AED" w:rsidP="00AC7AED">
      <w:pPr>
        <w:tabs>
          <w:tab w:val="left" w:pos="360"/>
        </w:tabs>
        <w:rPr>
          <w:rFonts w:ascii="Garamond" w:hAnsi="Garamond"/>
          <w:sz w:val="24"/>
        </w:rPr>
      </w:pPr>
    </w:p>
    <w:p w:rsidR="00AC7AED" w:rsidRDefault="00AC7AED" w:rsidP="00AC7AED">
      <w:pPr>
        <w:tabs>
          <w:tab w:val="left" w:pos="360"/>
        </w:tabs>
        <w:rPr>
          <w:rFonts w:ascii="Garamond" w:hAnsi="Garamond"/>
          <w:sz w:val="24"/>
        </w:rPr>
      </w:pPr>
      <w:r>
        <w:rPr>
          <w:rFonts w:ascii="Garamond" w:hAnsi="Garamond"/>
          <w:sz w:val="24"/>
        </w:rPr>
        <w:t xml:space="preserve">Brand Focus 1.0 discusses the history of branding. It traces the development of brands from marks of identification on stone age pottery to national manufacturer brands in the Industrial Revolution to mass marketed brands. </w:t>
      </w:r>
    </w:p>
    <w:p w:rsidR="00AC7AED" w:rsidRPr="007B78AE" w:rsidRDefault="00AC7AED" w:rsidP="00AC7AED">
      <w:pPr>
        <w:pStyle w:val="Heading4"/>
        <w:rPr>
          <w:rFonts w:ascii="Garamond" w:hAnsi="Garamond"/>
          <w:bCs/>
        </w:rPr>
      </w:pPr>
      <w:r w:rsidRPr="007B78AE">
        <w:rPr>
          <w:rFonts w:ascii="Garamond" w:hAnsi="Garamond"/>
          <w:bCs/>
        </w:rPr>
        <w:lastRenderedPageBreak/>
        <w:t>Science of Branding</w:t>
      </w:r>
    </w:p>
    <w:p w:rsidR="00AC7AED" w:rsidRDefault="00AC7AED" w:rsidP="00AC7AED">
      <w:pPr>
        <w:tabs>
          <w:tab w:val="left" w:pos="360"/>
        </w:tabs>
        <w:rPr>
          <w:rFonts w:ascii="Garamond" w:hAnsi="Garamond"/>
          <w:sz w:val="24"/>
        </w:rPr>
      </w:pPr>
      <w:r>
        <w:rPr>
          <w:rFonts w:ascii="Garamond" w:hAnsi="Garamond"/>
          <w:sz w:val="24"/>
        </w:rPr>
        <w:t>1-1: Understanding Business-to-Business Branding</w:t>
      </w:r>
    </w:p>
    <w:p w:rsidR="00AC7AED" w:rsidRDefault="00AC7AED" w:rsidP="00AC7AED">
      <w:pPr>
        <w:tabs>
          <w:tab w:val="left" w:pos="360"/>
        </w:tabs>
        <w:rPr>
          <w:rFonts w:ascii="Garamond" w:hAnsi="Garamond"/>
          <w:sz w:val="24"/>
        </w:rPr>
      </w:pPr>
      <w:r>
        <w:rPr>
          <w:rFonts w:ascii="Garamond" w:hAnsi="Garamond"/>
          <w:sz w:val="24"/>
        </w:rPr>
        <w:t>1-2: High-Tech Branding</w:t>
      </w:r>
    </w:p>
    <w:p w:rsidR="00AC7AED" w:rsidRDefault="00AC7AED" w:rsidP="00AC7AED">
      <w:pPr>
        <w:tabs>
          <w:tab w:val="left" w:pos="360"/>
        </w:tabs>
        <w:rPr>
          <w:rFonts w:ascii="Garamond" w:hAnsi="Garamond"/>
          <w:sz w:val="24"/>
        </w:rPr>
      </w:pPr>
      <w:r>
        <w:rPr>
          <w:rFonts w:ascii="Garamond" w:hAnsi="Garamond"/>
          <w:sz w:val="24"/>
        </w:rPr>
        <w:t>1-3: Understanding Market Leadership</w:t>
      </w:r>
    </w:p>
    <w:p w:rsidR="00AC7AED" w:rsidRDefault="00AC7AED" w:rsidP="00AC7AED">
      <w:pPr>
        <w:tabs>
          <w:tab w:val="left" w:pos="360"/>
        </w:tabs>
        <w:rPr>
          <w:rFonts w:ascii="Garamond" w:hAnsi="Garamond"/>
          <w:sz w:val="24"/>
        </w:rPr>
      </w:pPr>
    </w:p>
    <w:p w:rsidR="00AC7AED" w:rsidRDefault="00AC7AED" w:rsidP="00AC7AED">
      <w:pPr>
        <w:pStyle w:val="Heading1"/>
        <w:rPr>
          <w:rFonts w:ascii="Garamond" w:hAnsi="Garamond"/>
          <w:b/>
        </w:rPr>
      </w:pPr>
      <w:r>
        <w:rPr>
          <w:rFonts w:ascii="Garamond" w:hAnsi="Garamond"/>
          <w:b/>
        </w:rPr>
        <w:t>Branding Briefs</w:t>
      </w:r>
    </w:p>
    <w:p w:rsidR="00AC7AED" w:rsidRDefault="00AC7AED" w:rsidP="00AC7AED">
      <w:pPr>
        <w:rPr>
          <w:rFonts w:ascii="Garamond" w:hAnsi="Garamond"/>
          <w:sz w:val="24"/>
        </w:rPr>
      </w:pPr>
      <w:r>
        <w:rPr>
          <w:rFonts w:ascii="Garamond" w:hAnsi="Garamond"/>
          <w:sz w:val="24"/>
        </w:rPr>
        <w:t>1-1: Coca-Cola’s Branding Lesson</w:t>
      </w:r>
    </w:p>
    <w:p w:rsidR="00AC7AED" w:rsidRDefault="00AC7AED" w:rsidP="00AC7AED">
      <w:pPr>
        <w:rPr>
          <w:rFonts w:ascii="Book Antiqua" w:hAnsi="Book Antiqua"/>
          <w:b/>
          <w:szCs w:val="24"/>
        </w:rPr>
      </w:pPr>
      <w:r>
        <w:rPr>
          <w:rFonts w:ascii="Garamond" w:hAnsi="Garamond"/>
          <w:sz w:val="24"/>
        </w:rPr>
        <w:t xml:space="preserve">1-2: </w:t>
      </w:r>
      <w:r w:rsidRPr="00D24615">
        <w:rPr>
          <w:rFonts w:ascii="Garamond" w:hAnsi="Garamond"/>
          <w:sz w:val="24"/>
        </w:rPr>
        <w:t>Diamond Industry Creates New Niches to Increase Sales</w:t>
      </w:r>
    </w:p>
    <w:p w:rsidR="00AC7AED" w:rsidRPr="00D24615" w:rsidRDefault="00AC7AED" w:rsidP="00AC7AED">
      <w:pPr>
        <w:rPr>
          <w:rFonts w:ascii="Book Antiqua" w:hAnsi="Book Antiqua"/>
          <w:b/>
          <w:szCs w:val="24"/>
        </w:rPr>
      </w:pPr>
      <w:r>
        <w:rPr>
          <w:rFonts w:ascii="Garamond" w:hAnsi="Garamond"/>
          <w:sz w:val="24"/>
        </w:rPr>
        <w:t>1-3: Flying High with the SWA Brand</w:t>
      </w:r>
    </w:p>
    <w:p w:rsidR="00AC7AED" w:rsidRDefault="00AC7AED" w:rsidP="00AC7AED">
      <w:pPr>
        <w:rPr>
          <w:rFonts w:ascii="Garamond" w:hAnsi="Garamond"/>
          <w:sz w:val="24"/>
        </w:rPr>
      </w:pPr>
      <w:r>
        <w:rPr>
          <w:rFonts w:ascii="Garamond" w:hAnsi="Garamond"/>
          <w:sz w:val="24"/>
        </w:rPr>
        <w:t xml:space="preserve">1-4: Branding the </w:t>
      </w:r>
      <w:smartTag w:uri="urn:schemas-microsoft-com:office:smarttags" w:element="Street">
        <w:smartTag w:uri="urn:schemas-microsoft-com:office:smarttags" w:element="address">
          <w:r>
            <w:rPr>
              <w:rFonts w:ascii="Garamond" w:hAnsi="Garamond"/>
              <w:sz w:val="24"/>
            </w:rPr>
            <w:t>Wal-Mart Way</w:t>
          </w:r>
        </w:smartTag>
      </w:smartTag>
    </w:p>
    <w:p w:rsidR="00AC7AED" w:rsidRDefault="00AC7AED" w:rsidP="00AC7AED">
      <w:pPr>
        <w:rPr>
          <w:rFonts w:ascii="Garamond" w:hAnsi="Garamond"/>
          <w:sz w:val="24"/>
        </w:rPr>
      </w:pPr>
      <w:r>
        <w:rPr>
          <w:rFonts w:ascii="Garamond" w:hAnsi="Garamond"/>
          <w:sz w:val="24"/>
        </w:rPr>
        <w:t>1-5: Building the Amazon Brand</w:t>
      </w:r>
    </w:p>
    <w:p w:rsidR="00AC7AED" w:rsidRDefault="00AC7AED" w:rsidP="00AC7AED">
      <w:pPr>
        <w:spacing w:line="240" w:lineRule="atLeast"/>
        <w:rPr>
          <w:rFonts w:ascii="Garamond" w:hAnsi="Garamond"/>
          <w:sz w:val="24"/>
        </w:rPr>
      </w:pPr>
      <w:r>
        <w:rPr>
          <w:rFonts w:ascii="Garamond" w:hAnsi="Garamond"/>
          <w:sz w:val="24"/>
        </w:rPr>
        <w:t xml:space="preserve">1-6: Building a Brand Winner with </w:t>
      </w:r>
      <w:smartTag w:uri="urn:schemas-microsoft-com:office:smarttags" w:element="place">
        <w:smartTag w:uri="urn:schemas-microsoft-com:office:smarttags" w:element="City">
          <w:r>
            <w:rPr>
              <w:rFonts w:ascii="Garamond" w:hAnsi="Garamond"/>
              <w:sz w:val="24"/>
            </w:rPr>
            <w:t>Manchester</w:t>
          </w:r>
        </w:smartTag>
      </w:smartTag>
      <w:r>
        <w:rPr>
          <w:rFonts w:ascii="Garamond" w:hAnsi="Garamond"/>
          <w:sz w:val="24"/>
        </w:rPr>
        <w:t xml:space="preserve"> United</w:t>
      </w:r>
    </w:p>
    <w:p w:rsidR="00AC7AED" w:rsidRDefault="00AC7AED" w:rsidP="00AC7AED">
      <w:pPr>
        <w:spacing w:line="240" w:lineRule="atLeast"/>
        <w:rPr>
          <w:rFonts w:ascii="Garamond" w:hAnsi="Garamond"/>
          <w:sz w:val="24"/>
        </w:rPr>
      </w:pPr>
      <w:r>
        <w:rPr>
          <w:rFonts w:ascii="Garamond" w:hAnsi="Garamond"/>
          <w:sz w:val="24"/>
        </w:rPr>
        <w:t xml:space="preserve">1-7: </w:t>
      </w:r>
      <w:r w:rsidRPr="0048146C">
        <w:rPr>
          <w:rFonts w:ascii="Garamond" w:hAnsi="Garamond"/>
          <w:sz w:val="24"/>
        </w:rPr>
        <w:t>Ad Campaigns Entice Visitors with a Glimpse of Freedom, Fun</w:t>
      </w:r>
    </w:p>
    <w:p w:rsidR="00AC7AED" w:rsidRDefault="00AC7AED" w:rsidP="00AC7AED">
      <w:pPr>
        <w:spacing w:line="240" w:lineRule="atLeast"/>
        <w:rPr>
          <w:rFonts w:ascii="Garamond" w:hAnsi="Garamond"/>
          <w:sz w:val="24"/>
        </w:rPr>
      </w:pPr>
      <w:r>
        <w:rPr>
          <w:rFonts w:ascii="Garamond" w:hAnsi="Garamond"/>
          <w:sz w:val="24"/>
        </w:rPr>
        <w:t>1-8: Branding a Cause: World Wildlife Federation</w:t>
      </w:r>
    </w:p>
    <w:p w:rsidR="00AC7AED" w:rsidRPr="00215412" w:rsidRDefault="00AC7AED" w:rsidP="00AC7AED">
      <w:pPr>
        <w:pStyle w:val="Heading1"/>
        <w:rPr>
          <w:rFonts w:ascii="Garamond" w:hAnsi="Garamond"/>
        </w:rPr>
      </w:pPr>
      <w:r w:rsidRPr="00215412">
        <w:rPr>
          <w:rFonts w:ascii="Garamond" w:hAnsi="Garamond"/>
        </w:rPr>
        <w:t>Additional Branding Briefs:</w:t>
      </w:r>
    </w:p>
    <w:p w:rsidR="00AC7AED" w:rsidRPr="00B6054F" w:rsidRDefault="00AC7AED" w:rsidP="00AC7AED">
      <w:pPr>
        <w:pStyle w:val="Heading1"/>
        <w:rPr>
          <w:rFonts w:ascii="Garamond" w:hAnsi="Garamond"/>
          <w:u w:val="none"/>
        </w:rPr>
      </w:pPr>
      <w:r w:rsidRPr="00B6054F">
        <w:rPr>
          <w:rFonts w:ascii="Garamond" w:hAnsi="Garamond"/>
          <w:u w:val="none"/>
        </w:rPr>
        <w:t>1-9: A Glimpse into the Past of Selected Brands</w:t>
      </w:r>
    </w:p>
    <w:p w:rsidR="00AC7AED" w:rsidRPr="00B6054F" w:rsidRDefault="00AC7AED" w:rsidP="00AC7AED">
      <w:pPr>
        <w:pStyle w:val="Heading1"/>
        <w:rPr>
          <w:rFonts w:ascii="Garamond" w:hAnsi="Garamond"/>
          <w:u w:val="none"/>
        </w:rPr>
      </w:pPr>
      <w:r w:rsidRPr="00B6054F">
        <w:rPr>
          <w:rFonts w:ascii="Garamond" w:hAnsi="Garamond"/>
          <w:u w:val="none"/>
        </w:rPr>
        <w:t>1-10: Branding Energy</w:t>
      </w:r>
    </w:p>
    <w:p w:rsidR="00AC7AED" w:rsidRDefault="00AC7AED" w:rsidP="00AC7AED">
      <w:pPr>
        <w:pStyle w:val="Heading1"/>
        <w:rPr>
          <w:rFonts w:ascii="Garamond" w:hAnsi="Garamond"/>
          <w:b/>
        </w:rPr>
      </w:pPr>
    </w:p>
    <w:p w:rsidR="00AC7AED" w:rsidRDefault="00AC7AED" w:rsidP="00AC7AED">
      <w:pPr>
        <w:pStyle w:val="Heading1"/>
        <w:rPr>
          <w:rFonts w:ascii="Garamond" w:hAnsi="Garamond"/>
          <w:b/>
        </w:rPr>
      </w:pPr>
      <w:r>
        <w:rPr>
          <w:rFonts w:ascii="Garamond" w:hAnsi="Garamond"/>
          <w:b/>
        </w:rPr>
        <w:t>Key take-away points</w:t>
      </w:r>
    </w:p>
    <w:p w:rsidR="00AC7AED" w:rsidRDefault="00AC7AED" w:rsidP="00AC7AED">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 xml:space="preserve">A company’s management of a brand is typically the determining factor in the ultimate success or failure of the brand. </w:t>
      </w:r>
    </w:p>
    <w:p w:rsidR="00AC7AED" w:rsidRDefault="00AC7AED" w:rsidP="00AC7AED">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Brands have differentiating features that distinguish them from competitors and add value for consumers.</w:t>
      </w:r>
    </w:p>
    <w:p w:rsidR="00AC7AED" w:rsidRDefault="00AC7AED" w:rsidP="00AC7AED">
      <w:pPr>
        <w:numPr>
          <w:ilvl w:val="0"/>
          <w:numId w:val="7"/>
        </w:numPr>
        <w:spacing w:before="120"/>
        <w:rPr>
          <w:rFonts w:ascii="Garamond" w:hAnsi="Garamond"/>
          <w:i/>
          <w:sz w:val="24"/>
        </w:rPr>
      </w:pPr>
      <w:r>
        <w:rPr>
          <w:rFonts w:ascii="Garamond" w:hAnsi="Garamond"/>
          <w:sz w:val="24"/>
        </w:rPr>
        <w:t xml:space="preserve">Consumers often don’t buy </w:t>
      </w:r>
      <w:proofErr w:type="gramStart"/>
      <w:r>
        <w:rPr>
          <w:rFonts w:ascii="Garamond" w:hAnsi="Garamond"/>
          <w:sz w:val="24"/>
        </w:rPr>
        <w:t>products,</w:t>
      </w:r>
      <w:proofErr w:type="gramEnd"/>
      <w:r>
        <w:rPr>
          <w:rFonts w:ascii="Garamond" w:hAnsi="Garamond"/>
          <w:sz w:val="24"/>
        </w:rPr>
        <w:t xml:space="preserve"> they buy </w:t>
      </w:r>
      <w:r>
        <w:rPr>
          <w:rFonts w:ascii="Garamond" w:hAnsi="Garamond"/>
          <w:i/>
          <w:sz w:val="24"/>
        </w:rPr>
        <w:t>the images associated with products.</w:t>
      </w:r>
    </w:p>
    <w:p w:rsidR="00AC7AED" w:rsidRDefault="00AC7AED" w:rsidP="00AC7AED">
      <w:pPr>
        <w:spacing w:line="240" w:lineRule="atLeast"/>
        <w:jc w:val="center"/>
        <w:rPr>
          <w:rFonts w:ascii="Garamond" w:hAnsi="Garamond"/>
          <w:b/>
          <w:i/>
          <w:sz w:val="24"/>
        </w:rPr>
      </w:pPr>
      <w:r>
        <w:rPr>
          <w:rFonts w:ascii="Garamond" w:hAnsi="Garamond"/>
          <w:b/>
          <w:i/>
          <w:color w:val="FF0000"/>
          <w:sz w:val="24"/>
        </w:rPr>
        <w:br w:type="page"/>
      </w:r>
      <w:r>
        <w:rPr>
          <w:rFonts w:ascii="Garamond" w:hAnsi="Garamond"/>
          <w:b/>
          <w:i/>
          <w:sz w:val="24"/>
        </w:rPr>
        <w:lastRenderedPageBreak/>
        <w:t>BRANDING BRIEF 1-9</w:t>
      </w:r>
    </w:p>
    <w:p w:rsidR="00AC7AED" w:rsidRDefault="00AC7AED" w:rsidP="00AC7AED">
      <w:pPr>
        <w:spacing w:line="240" w:lineRule="atLeast"/>
        <w:jc w:val="center"/>
        <w:rPr>
          <w:rFonts w:ascii="Garamond" w:hAnsi="Garamond"/>
          <w:b/>
          <w:i/>
          <w:sz w:val="24"/>
        </w:rPr>
      </w:pPr>
      <w:r>
        <w:rPr>
          <w:rFonts w:ascii="Garamond" w:hAnsi="Garamond"/>
          <w:b/>
          <w:i/>
          <w:sz w:val="24"/>
        </w:rPr>
        <w:t>A GLIMPSE INTO THE PAST OF SELECTED BRANDS</w:t>
      </w:r>
      <w:r>
        <w:rPr>
          <w:rStyle w:val="EndnoteReference"/>
          <w:rFonts w:ascii="Garamond" w:hAnsi="Garamond"/>
          <w:sz w:val="24"/>
        </w:rPr>
        <w:endnoteReference w:id="1"/>
      </w:r>
    </w:p>
    <w:p w:rsidR="00AC7AED" w:rsidRDefault="00AC7AED" w:rsidP="00AC7AED">
      <w:pPr>
        <w:tabs>
          <w:tab w:val="left" w:pos="360"/>
        </w:tabs>
        <w:jc w:val="center"/>
        <w:rPr>
          <w:rFonts w:ascii="Garamond" w:hAnsi="Garamond"/>
          <w:b/>
          <w:i/>
          <w:sz w:val="24"/>
        </w:rPr>
      </w:pPr>
    </w:p>
    <w:p w:rsidR="00AC7AED" w:rsidRDefault="00AC7AED" w:rsidP="00AC7AED">
      <w:pPr>
        <w:rPr>
          <w:rFonts w:ascii="Garamond" w:hAnsi="Garamond"/>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6"/>
      </w:tblGrid>
      <w:tr w:rsidR="00AC7AED">
        <w:tblPrEx>
          <w:tblCellMar>
            <w:top w:w="0" w:type="dxa"/>
            <w:bottom w:w="0" w:type="dxa"/>
          </w:tblCellMar>
        </w:tblPrEx>
        <w:trPr>
          <w:trHeight w:val="350"/>
        </w:trPr>
        <w:tc>
          <w:tcPr>
            <w:tcW w:w="8856" w:type="dxa"/>
            <w:tcBorders>
              <w:top w:val="single" w:sz="4" w:space="0" w:color="auto"/>
              <w:left w:val="single" w:sz="4" w:space="0" w:color="auto"/>
              <w:bottom w:val="single" w:sz="4" w:space="0" w:color="auto"/>
              <w:right w:val="single" w:sz="4" w:space="0" w:color="auto"/>
            </w:tcBorders>
          </w:tcPr>
          <w:p w:rsidR="00AC7AED" w:rsidRDefault="00AC7AED" w:rsidP="00DF43CB">
            <w:pPr>
              <w:ind w:left="360" w:right="360"/>
              <w:rPr>
                <w:rFonts w:ascii="Garamond" w:hAnsi="Garamond"/>
                <w:sz w:val="24"/>
              </w:rPr>
            </w:pPr>
          </w:p>
          <w:p w:rsidR="00AC7AED" w:rsidRDefault="00AC7AED" w:rsidP="00DF43CB">
            <w:pPr>
              <w:ind w:left="360" w:right="360"/>
              <w:jc w:val="both"/>
              <w:rPr>
                <w:rFonts w:ascii="Garamond" w:hAnsi="Garamond"/>
                <w:sz w:val="24"/>
              </w:rPr>
            </w:pPr>
            <w:r>
              <w:rPr>
                <w:rFonts w:ascii="Garamond" w:hAnsi="Garamond"/>
                <w:b/>
                <w:sz w:val="24"/>
              </w:rPr>
              <w:t>Coca-Cola</w:t>
            </w:r>
            <w:r>
              <w:rPr>
                <w:rFonts w:ascii="Garamond" w:hAnsi="Garamond"/>
                <w:sz w:val="24"/>
              </w:rPr>
              <w:t xml:space="preserve"> (aerated drink and manufacturer) As one of the best known and most international of trade names, </w:t>
            </w:r>
            <w:r>
              <w:rPr>
                <w:rFonts w:ascii="Garamond" w:hAnsi="Garamond"/>
                <w:i/>
                <w:sz w:val="24"/>
              </w:rPr>
              <w:t>Coca-Cola</w:t>
            </w:r>
            <w:r>
              <w:rPr>
                <w:rFonts w:ascii="Garamond" w:hAnsi="Garamond"/>
                <w:sz w:val="24"/>
              </w:rPr>
              <w:t xml:space="preserve"> was created in May 1886 by Frank M. Robinson, bookkeeper to the creator of the drink itself, Dr. John S. Pemberton, a druggist from Atlanta, Georgia, and was registered as a trademark on 31 January 1893. The name was based on two of the drink’s constituents: extracts from </w:t>
            </w:r>
            <w:r>
              <w:rPr>
                <w:rFonts w:ascii="Garamond" w:hAnsi="Garamond"/>
                <w:i/>
                <w:sz w:val="24"/>
              </w:rPr>
              <w:t>coca</w:t>
            </w:r>
            <w:r>
              <w:rPr>
                <w:rFonts w:ascii="Garamond" w:hAnsi="Garamond"/>
                <w:sz w:val="24"/>
              </w:rPr>
              <w:t xml:space="preserve"> leaves and from the </w:t>
            </w:r>
            <w:r>
              <w:rPr>
                <w:rFonts w:ascii="Garamond" w:hAnsi="Garamond"/>
                <w:i/>
                <w:sz w:val="24"/>
              </w:rPr>
              <w:t>cola</w:t>
            </w:r>
            <w:r>
              <w:rPr>
                <w:rFonts w:ascii="Garamond" w:hAnsi="Garamond"/>
                <w:sz w:val="24"/>
              </w:rPr>
              <w:t xml:space="preserve"> nut. That coca leaves also yield cocaine is a connection that the manufacturers do not now prefer to emphasize, and it is certainly true that although the drink once contained a form of the drug, especially in the early days when it was advertised as an ‘Esteemed Brain Tonic and Intellectual Beverage,’ it contains none now. The name itself is a remarkably successful one as a memorable and easily pronounceable trade name, having alliteration and three desirable ‘k’ sounds (compare </w:t>
            </w:r>
            <w:r>
              <w:rPr>
                <w:rFonts w:ascii="Garamond" w:hAnsi="Garamond"/>
                <w:i/>
                <w:sz w:val="24"/>
              </w:rPr>
              <w:t>Kodak</w:t>
            </w:r>
            <w:r>
              <w:rPr>
                <w:rFonts w:ascii="Garamond" w:hAnsi="Garamond"/>
                <w:sz w:val="24"/>
              </w:rPr>
              <w:t xml:space="preserve">). </w:t>
            </w:r>
            <w:r>
              <w:rPr>
                <w:rFonts w:ascii="Garamond" w:hAnsi="Garamond"/>
                <w:i/>
                <w:sz w:val="24"/>
              </w:rPr>
              <w:t>Coca-Cola</w:t>
            </w:r>
            <w:r>
              <w:rPr>
                <w:rFonts w:ascii="Garamond" w:hAnsi="Garamond"/>
                <w:sz w:val="24"/>
              </w:rPr>
              <w:t xml:space="preserve"> gained popularity rapidly—it was first bottled in 1894—to such an extent that the manufacturers were obliged to register a second name for it used by the public as a ‘pet’ form: </w:t>
            </w:r>
            <w:r>
              <w:rPr>
                <w:rFonts w:ascii="Garamond" w:hAnsi="Garamond"/>
                <w:i/>
                <w:sz w:val="24"/>
              </w:rPr>
              <w:t>Coke</w:t>
            </w:r>
            <w:r>
              <w:rPr>
                <w:rFonts w:ascii="Garamond" w:hAnsi="Garamond"/>
                <w:sz w:val="24"/>
              </w:rPr>
              <w:t>. The second element of the name is not a registered trademark, so that ‘cola’ drinks exist on the market in a number of varieties. Among names of rival brands (imposters) were Coca, Cola, Fig Cola, Candy Cola, Cold Cola, Cay-Ola, and Koca-Nola. All these were outlawed by the courts in 1916.</w:t>
            </w:r>
          </w:p>
          <w:p w:rsidR="00AC7AED" w:rsidRDefault="00AC7AED" w:rsidP="00DF43CB">
            <w:pPr>
              <w:ind w:left="360" w:right="360" w:firstLine="720"/>
              <w:jc w:val="both"/>
              <w:rPr>
                <w:rFonts w:ascii="Garamond" w:hAnsi="Garamond"/>
                <w:sz w:val="24"/>
              </w:rPr>
            </w:pPr>
            <w:r>
              <w:rPr>
                <w:rFonts w:ascii="Garamond" w:hAnsi="Garamond"/>
                <w:b/>
                <w:sz w:val="24"/>
              </w:rPr>
              <w:t xml:space="preserve">Gillette </w:t>
            </w:r>
            <w:r>
              <w:rPr>
                <w:rFonts w:ascii="Garamond" w:hAnsi="Garamond"/>
                <w:sz w:val="24"/>
              </w:rPr>
              <w:t xml:space="preserve">(safety razors, blades, and toiletries by </w:t>
            </w:r>
            <w:r>
              <w:rPr>
                <w:rFonts w:ascii="Garamond" w:hAnsi="Garamond"/>
                <w:i/>
                <w:sz w:val="24"/>
              </w:rPr>
              <w:t>Gillette</w:t>
            </w:r>
            <w:r>
              <w:rPr>
                <w:rFonts w:ascii="Garamond" w:hAnsi="Garamond"/>
                <w:sz w:val="24"/>
              </w:rPr>
              <w:t xml:space="preserve"> Industries</w:t>
            </w:r>
            <w:proofErr w:type="gramStart"/>
            <w:r>
              <w:rPr>
                <w:rFonts w:ascii="Garamond" w:hAnsi="Garamond"/>
                <w:sz w:val="24"/>
              </w:rPr>
              <w:t>)  The</w:t>
            </w:r>
            <w:proofErr w:type="gramEnd"/>
            <w:r>
              <w:rPr>
                <w:rFonts w:ascii="Garamond" w:hAnsi="Garamond"/>
                <w:sz w:val="24"/>
              </w:rPr>
              <w:t xml:space="preserve"> name comes from the company’s first president, King Camp Gillette, who traced his name back to the Gillet family of </w:t>
            </w:r>
            <w:smartTag w:uri="urn:schemas-microsoft-com:office:smarttags" w:element="place">
              <w:smartTag w:uri="urn:schemas-microsoft-com:office:smarttags" w:element="City">
                <w:r>
                  <w:rPr>
                    <w:rFonts w:ascii="Garamond" w:hAnsi="Garamond"/>
                    <w:sz w:val="24"/>
                  </w:rPr>
                  <w:t>Somerset</w:t>
                </w:r>
              </w:smartTag>
              <w:r>
                <w:rPr>
                  <w:rFonts w:ascii="Garamond" w:hAnsi="Garamond"/>
                  <w:sz w:val="24"/>
                </w:rPr>
                <w:t xml:space="preserve">, </w:t>
              </w:r>
              <w:smartTag w:uri="urn:schemas-microsoft-com:office:smarttags" w:element="country-region">
                <w:r>
                  <w:rPr>
                    <w:rFonts w:ascii="Garamond" w:hAnsi="Garamond"/>
                    <w:sz w:val="24"/>
                  </w:rPr>
                  <w:t>England</w:t>
                </w:r>
              </w:smartTag>
            </w:smartTag>
            <w:r>
              <w:rPr>
                <w:rFonts w:ascii="Garamond" w:hAnsi="Garamond"/>
                <w:sz w:val="24"/>
              </w:rPr>
              <w:t xml:space="preserve">. Gillette patented the first disposable razorblades in 1902, having the previous year founded his company for the manufacture of razors and blades, initially as the American Safety Razor Co. </w:t>
            </w:r>
            <w:r>
              <w:rPr>
                <w:rFonts w:ascii="Garamond" w:hAnsi="Garamond"/>
                <w:i/>
                <w:sz w:val="24"/>
              </w:rPr>
              <w:t>Gillette</w:t>
            </w:r>
            <w:r>
              <w:rPr>
                <w:rFonts w:ascii="Garamond" w:hAnsi="Garamond"/>
                <w:sz w:val="24"/>
              </w:rPr>
              <w:t xml:space="preserve"> as a name has a favourable French appearance (although a bogus one) for products in the sophisticated toiletries market. Gillette’s original blade had been perfected by William E. Nickerson, who designed equipment for the company. It was fortunate that he had not been the actual inventor, since ‘Nickerson’ would hardly make a suitable name for a company selling razors and blades.</w:t>
            </w:r>
          </w:p>
          <w:p w:rsidR="00AC7AED" w:rsidRDefault="00AC7AED" w:rsidP="00DF43CB">
            <w:pPr>
              <w:ind w:left="360" w:right="360" w:firstLine="720"/>
              <w:jc w:val="both"/>
              <w:rPr>
                <w:rFonts w:ascii="Garamond" w:hAnsi="Garamond"/>
                <w:sz w:val="24"/>
              </w:rPr>
            </w:pPr>
            <w:r>
              <w:rPr>
                <w:rFonts w:ascii="Garamond" w:hAnsi="Garamond"/>
                <w:b/>
                <w:sz w:val="24"/>
              </w:rPr>
              <w:t>Kodak</w:t>
            </w:r>
            <w:r>
              <w:rPr>
                <w:rFonts w:ascii="Garamond" w:hAnsi="Garamond"/>
                <w:sz w:val="24"/>
              </w:rPr>
              <w:t xml:space="preserve"> (photographic products and cameras and manufacturer</w:t>
            </w:r>
            <w:proofErr w:type="gramStart"/>
            <w:r>
              <w:rPr>
                <w:rFonts w:ascii="Garamond" w:hAnsi="Garamond"/>
                <w:sz w:val="24"/>
              </w:rPr>
              <w:t>)  A</w:t>
            </w:r>
            <w:proofErr w:type="gramEnd"/>
            <w:r>
              <w:rPr>
                <w:rFonts w:ascii="Garamond" w:hAnsi="Garamond"/>
                <w:sz w:val="24"/>
              </w:rPr>
              <w:t xml:space="preserve"> trade name that is as well known internationally as </w:t>
            </w:r>
            <w:r>
              <w:rPr>
                <w:rFonts w:ascii="Garamond" w:hAnsi="Garamond"/>
                <w:i/>
                <w:sz w:val="24"/>
              </w:rPr>
              <w:t>Coca-Cola</w:t>
            </w:r>
            <w:r>
              <w:rPr>
                <w:rFonts w:ascii="Garamond" w:hAnsi="Garamond"/>
                <w:sz w:val="24"/>
              </w:rPr>
              <w:t xml:space="preserve">. The two names, in fact, appeared within two years of each other: </w:t>
            </w:r>
            <w:r>
              <w:rPr>
                <w:rFonts w:ascii="Garamond" w:hAnsi="Garamond"/>
                <w:i/>
                <w:sz w:val="24"/>
              </w:rPr>
              <w:t>Coca-Cola</w:t>
            </w:r>
            <w:r>
              <w:rPr>
                <w:rFonts w:ascii="Garamond" w:hAnsi="Garamond"/>
                <w:sz w:val="24"/>
              </w:rPr>
              <w:t xml:space="preserve"> in 1886 and </w:t>
            </w:r>
            <w:r>
              <w:rPr>
                <w:rFonts w:ascii="Garamond" w:hAnsi="Garamond"/>
                <w:i/>
                <w:sz w:val="24"/>
              </w:rPr>
              <w:t>Kodak</w:t>
            </w:r>
            <w:r>
              <w:rPr>
                <w:rFonts w:ascii="Garamond" w:hAnsi="Garamond"/>
                <w:sz w:val="24"/>
              </w:rPr>
              <w:t xml:space="preserve"> in 1888. </w:t>
            </w:r>
            <w:r>
              <w:rPr>
                <w:rFonts w:ascii="Garamond" w:hAnsi="Garamond"/>
                <w:i/>
                <w:sz w:val="24"/>
              </w:rPr>
              <w:t>Kodak</w:t>
            </w:r>
            <w:r>
              <w:rPr>
                <w:rFonts w:ascii="Garamond" w:hAnsi="Garamond"/>
                <w:sz w:val="24"/>
              </w:rPr>
              <w:t xml:space="preserve"> as a name has no meaning: it is not intended to suggest any word (as ‘code’ or ‘compact’), nor does it derive from any word. It was invented by the American photographic pioneer, George Eastman, who patented it on </w:t>
            </w:r>
            <w:smartTag w:uri="urn:schemas-microsoft-com:office:smarttags" w:element="date">
              <w:smartTagPr>
                <w:attr w:name="Year" w:val="1888"/>
                <w:attr w:name="Day" w:val="4"/>
                <w:attr w:name="Month" w:val="9"/>
              </w:smartTagPr>
              <w:r>
                <w:rPr>
                  <w:rFonts w:ascii="Garamond" w:hAnsi="Garamond"/>
                  <w:sz w:val="24"/>
                </w:rPr>
                <w:t>4 September 1888</w:t>
              </w:r>
            </w:smartTag>
            <w:r>
              <w:rPr>
                <w:rFonts w:ascii="Garamond" w:hAnsi="Garamond"/>
                <w:sz w:val="24"/>
              </w:rPr>
              <w:t xml:space="preserve">. Fortunately for posterity, Eastman has recorded the reasoning that prompted him to choose this particular name. He chose it, he says, “because I knew a trade name must be short, vigorous, incapable of being misspelled to an extent that would destroy its identity, and in order to satisfy trademark laws, it must mean nothing. The letter K has been a favourite with me—it seemed a strong, incisive sort of letter. Therefore, the work I wanted had to start with K. Then it became a question of trying out a great number of combinations of letters that made words starting and ending with K. The word Kodak is the result.’  </w:t>
            </w:r>
          </w:p>
          <w:p w:rsidR="00AC7AED" w:rsidRDefault="00AC7AED" w:rsidP="00DF43CB">
            <w:pPr>
              <w:ind w:left="360" w:right="360" w:firstLine="720"/>
              <w:jc w:val="both"/>
              <w:rPr>
                <w:rFonts w:ascii="Garamond" w:hAnsi="Garamond"/>
                <w:sz w:val="24"/>
              </w:rPr>
            </w:pPr>
          </w:p>
          <w:p w:rsidR="00AC7AED" w:rsidRDefault="00AC7AED" w:rsidP="00DF43CB">
            <w:pPr>
              <w:ind w:left="360" w:right="360" w:firstLine="720"/>
              <w:jc w:val="both"/>
              <w:rPr>
                <w:rFonts w:ascii="Garamond" w:hAnsi="Garamond"/>
                <w:sz w:val="24"/>
              </w:rPr>
            </w:pPr>
          </w:p>
        </w:tc>
      </w:tr>
      <w:tr w:rsidR="00AC7AED">
        <w:tblPrEx>
          <w:tblCellMar>
            <w:top w:w="0" w:type="dxa"/>
            <w:bottom w:w="0" w:type="dxa"/>
          </w:tblCellMar>
        </w:tblPrEx>
        <w:trPr>
          <w:trHeight w:val="251"/>
        </w:trPr>
        <w:tc>
          <w:tcPr>
            <w:tcW w:w="8856" w:type="dxa"/>
            <w:tcBorders>
              <w:top w:val="nil"/>
              <w:bottom w:val="single" w:sz="4" w:space="0" w:color="auto"/>
            </w:tcBorders>
          </w:tcPr>
          <w:p w:rsidR="00AC7AED" w:rsidRDefault="00AC7AED" w:rsidP="00DF43CB">
            <w:pPr>
              <w:ind w:left="360" w:right="360"/>
              <w:jc w:val="both"/>
              <w:rPr>
                <w:rFonts w:ascii="Garamond" w:hAnsi="Garamond"/>
                <w:sz w:val="24"/>
              </w:rPr>
            </w:pPr>
          </w:p>
          <w:p w:rsidR="00AC7AED" w:rsidRDefault="00AC7AED" w:rsidP="00DF43CB">
            <w:pPr>
              <w:ind w:left="360" w:right="360"/>
              <w:jc w:val="both"/>
              <w:rPr>
                <w:rFonts w:ascii="Garamond" w:hAnsi="Garamond"/>
                <w:sz w:val="24"/>
              </w:rPr>
            </w:pPr>
            <w:r>
              <w:rPr>
                <w:rFonts w:ascii="Garamond" w:hAnsi="Garamond"/>
                <w:sz w:val="24"/>
              </w:rPr>
              <w:t xml:space="preserve">It has been pointed out that the name is additionally onomatopoeic—it suggests the clicking of a camera’s shutter. It may also be relevant that ‘K’ was first letter of Eastman’s mother’s family name. The name has sometimes been used generically in a number of languages for a camera. This prompted the </w:t>
            </w:r>
            <w:r>
              <w:rPr>
                <w:rFonts w:ascii="Garamond" w:hAnsi="Garamond"/>
                <w:i/>
                <w:sz w:val="24"/>
              </w:rPr>
              <w:t>Verband Deutscher Amateurphotographen Vereine</w:t>
            </w:r>
            <w:r>
              <w:rPr>
                <w:rFonts w:ascii="Garamond" w:hAnsi="Garamond"/>
                <w:sz w:val="24"/>
              </w:rPr>
              <w:t xml:space="preserve"> (‘Joint Society of German Amateur Photographic Associations’) to issue the following warning (in German) in 1917: ‘Whoever speaks of a </w:t>
            </w:r>
            <w:r>
              <w:rPr>
                <w:rFonts w:ascii="Garamond" w:hAnsi="Garamond"/>
                <w:i/>
                <w:sz w:val="24"/>
              </w:rPr>
              <w:t>Kodak</w:t>
            </w:r>
            <w:r>
              <w:rPr>
                <w:rFonts w:ascii="Garamond" w:hAnsi="Garamond"/>
                <w:sz w:val="24"/>
              </w:rPr>
              <w:t xml:space="preserve"> meaning only a photographic camera in general is not mindful of the fact that he is damaging the German industry in favour of the Anglo-American by widespread use of this word.’  George Eastman also invented the name of one of </w:t>
            </w:r>
            <w:r>
              <w:rPr>
                <w:rFonts w:ascii="Garamond" w:hAnsi="Garamond"/>
                <w:i/>
                <w:sz w:val="24"/>
              </w:rPr>
              <w:t>Kodak’s</w:t>
            </w:r>
            <w:r>
              <w:rPr>
                <w:rFonts w:ascii="Garamond" w:hAnsi="Garamond"/>
                <w:sz w:val="24"/>
              </w:rPr>
              <w:t xml:space="preserve"> most popular cameras, the </w:t>
            </w:r>
            <w:r>
              <w:rPr>
                <w:rFonts w:ascii="Garamond" w:hAnsi="Garamond"/>
                <w:i/>
                <w:sz w:val="24"/>
              </w:rPr>
              <w:t>Brownie</w:t>
            </w:r>
            <w:r>
              <w:rPr>
                <w:rFonts w:ascii="Garamond" w:hAnsi="Garamond"/>
                <w:sz w:val="24"/>
              </w:rPr>
              <w:t>.</w:t>
            </w:r>
          </w:p>
          <w:p w:rsidR="00AC7AED" w:rsidRDefault="00AC7AED" w:rsidP="00DF43CB">
            <w:pPr>
              <w:ind w:left="360" w:right="360" w:firstLine="720"/>
              <w:jc w:val="both"/>
              <w:rPr>
                <w:rFonts w:ascii="Garamond" w:hAnsi="Garamond"/>
                <w:sz w:val="24"/>
              </w:rPr>
            </w:pPr>
            <w:r>
              <w:rPr>
                <w:rFonts w:ascii="Garamond" w:hAnsi="Garamond"/>
                <w:b/>
                <w:sz w:val="24"/>
              </w:rPr>
              <w:t xml:space="preserve">Shell </w:t>
            </w:r>
            <w:r>
              <w:rPr>
                <w:rFonts w:ascii="Garamond" w:hAnsi="Garamond"/>
                <w:sz w:val="24"/>
              </w:rPr>
              <w:t>(petroleum and manufacturer</w:t>
            </w:r>
            <w:proofErr w:type="gramStart"/>
            <w:r>
              <w:rPr>
                <w:rFonts w:ascii="Garamond" w:hAnsi="Garamond"/>
                <w:sz w:val="24"/>
              </w:rPr>
              <w:t>)  The</w:t>
            </w:r>
            <w:proofErr w:type="gramEnd"/>
            <w:r>
              <w:rPr>
                <w:rFonts w:ascii="Garamond" w:hAnsi="Garamond"/>
                <w:sz w:val="24"/>
              </w:rPr>
              <w:t xml:space="preserve"> story of </w:t>
            </w:r>
            <w:r>
              <w:rPr>
                <w:rFonts w:ascii="Garamond" w:hAnsi="Garamond"/>
                <w:i/>
                <w:sz w:val="24"/>
              </w:rPr>
              <w:t>Shell</w:t>
            </w:r>
            <w:r>
              <w:rPr>
                <w:rFonts w:ascii="Garamond" w:hAnsi="Garamond"/>
                <w:sz w:val="24"/>
              </w:rPr>
              <w:t xml:space="preserve"> began in the first half of the nineteenth century in the curio shop in East Smithfield, </w:t>
            </w:r>
            <w:smartTag w:uri="urn:schemas-microsoft-com:office:smarttags" w:element="place">
              <w:smartTag w:uri="urn:schemas-microsoft-com:office:smarttags" w:element="City">
                <w:r>
                  <w:rPr>
                    <w:rFonts w:ascii="Garamond" w:hAnsi="Garamond"/>
                    <w:sz w:val="24"/>
                  </w:rPr>
                  <w:t>London</w:t>
                </w:r>
              </w:smartTag>
            </w:smartTag>
            <w:r>
              <w:rPr>
                <w:rFonts w:ascii="Garamond" w:hAnsi="Garamond"/>
                <w:sz w:val="24"/>
              </w:rPr>
              <w:t xml:space="preserve">, set up by a Jewish dealer, Marcus Samuel. Samuel’s children had fastened seaside shells to their empty lunch boxes on returning from a holiday, and the dealer made up a number of such boxes and labeled them with the names of the resorts the shells had come from. For the more sophisticated demands of his lady customers he imported fancy polished shells from abroad. His shop soon became known as the Shell Shop, and business expanded rapidly so that by 1830 Marcus Samuel had built up an international trade in oriental curios and copra, as well as shells. When barreled kerosene was added to his cargo list, the world-wide activities of the Shell Shop were consolidated as the </w:t>
            </w:r>
            <w:r>
              <w:rPr>
                <w:rFonts w:ascii="Garamond" w:hAnsi="Garamond"/>
                <w:i/>
                <w:sz w:val="24"/>
              </w:rPr>
              <w:t>Shell</w:t>
            </w:r>
            <w:r>
              <w:rPr>
                <w:rFonts w:ascii="Garamond" w:hAnsi="Garamond"/>
                <w:sz w:val="24"/>
              </w:rPr>
              <w:t xml:space="preserve"> Transport and Trading Co. This was in 1897 when the firm had been taken over by Samuel’s son, also called Marcus. (Marcus </w:t>
            </w:r>
            <w:r>
              <w:rPr>
                <w:rFonts w:ascii="Garamond" w:hAnsi="Garamond"/>
                <w:i/>
                <w:sz w:val="24"/>
              </w:rPr>
              <w:t>père</w:t>
            </w:r>
            <w:r>
              <w:rPr>
                <w:rFonts w:ascii="Garamond" w:hAnsi="Garamond"/>
                <w:sz w:val="24"/>
              </w:rPr>
              <w:t xml:space="preserve"> died in 1870, aged 73.)  The company adopted the scallop as its trademark in 1904.</w:t>
            </w:r>
          </w:p>
          <w:p w:rsidR="00AC7AED" w:rsidRDefault="00AC7AED" w:rsidP="00DF43CB">
            <w:pPr>
              <w:ind w:left="360" w:right="360" w:firstLine="720"/>
              <w:jc w:val="both"/>
              <w:rPr>
                <w:rFonts w:ascii="Garamond" w:hAnsi="Garamond"/>
                <w:sz w:val="24"/>
              </w:rPr>
            </w:pPr>
            <w:r>
              <w:rPr>
                <w:rFonts w:ascii="Garamond" w:hAnsi="Garamond"/>
                <w:b/>
                <w:sz w:val="24"/>
              </w:rPr>
              <w:t xml:space="preserve">Sony </w:t>
            </w:r>
            <w:r>
              <w:rPr>
                <w:rFonts w:ascii="Garamond" w:hAnsi="Garamond"/>
                <w:sz w:val="24"/>
              </w:rPr>
              <w:t>(electrical equipment and manufacturer</w:t>
            </w:r>
            <w:proofErr w:type="gramStart"/>
            <w:r>
              <w:rPr>
                <w:rFonts w:ascii="Garamond" w:hAnsi="Garamond"/>
                <w:sz w:val="24"/>
              </w:rPr>
              <w:t>)  Many</w:t>
            </w:r>
            <w:proofErr w:type="gramEnd"/>
            <w:r>
              <w:rPr>
                <w:rFonts w:ascii="Garamond" w:hAnsi="Garamond"/>
                <w:sz w:val="24"/>
              </w:rPr>
              <w:t xml:space="preserve"> Japanese trade names turn out to be taken simply from the surname of a company founder or an inventor. </w:t>
            </w:r>
            <w:r>
              <w:rPr>
                <w:rFonts w:ascii="Garamond" w:hAnsi="Garamond"/>
                <w:i/>
                <w:sz w:val="24"/>
              </w:rPr>
              <w:t>Sony</w:t>
            </w:r>
            <w:r>
              <w:rPr>
                <w:rFonts w:ascii="Garamond" w:hAnsi="Garamond"/>
                <w:sz w:val="24"/>
              </w:rPr>
              <w:t xml:space="preserve"> is rather different. When </w:t>
            </w:r>
            <w:smartTag w:uri="urn:schemas-microsoft-com:office:smarttags" w:element="place">
              <w:smartTag w:uri="urn:schemas-microsoft-com:office:smarttags" w:element="country-region">
                <w:r>
                  <w:rPr>
                    <w:rFonts w:ascii="Garamond" w:hAnsi="Garamond"/>
                    <w:sz w:val="24"/>
                  </w:rPr>
                  <w:t>Japan</w:t>
                </w:r>
              </w:smartTag>
            </w:smartTag>
            <w:r>
              <w:rPr>
                <w:rFonts w:ascii="Garamond" w:hAnsi="Garamond"/>
                <w:sz w:val="24"/>
              </w:rPr>
              <w:t xml:space="preserve">’s first transistor radio was produced by the Tokyo Tsushin Kogyo Kabushai Kaisha (company) in 1955 the directors understandably felt that they needed a much more ‘streamlined’ and international name for it than the full length company name. At first they considered “TTK, which was certainly better, but there already existed a TKK (Tokyo Kyuto KK, or Tokyo Express Co.) which would be confusing. Earlier, they had used ‘Tape-corder’ for their tape recorder and ‘Soni’ (from </w:t>
            </w:r>
            <w:r>
              <w:rPr>
                <w:rFonts w:ascii="Garamond" w:hAnsi="Garamond"/>
                <w:i/>
                <w:sz w:val="24"/>
              </w:rPr>
              <w:t>‘sonic’</w:t>
            </w:r>
            <w:r>
              <w:rPr>
                <w:rFonts w:ascii="Garamond" w:hAnsi="Garamond"/>
                <w:sz w:val="24"/>
              </w:rPr>
              <w:t xml:space="preserve">) for this machine’s tape. Considering, ‘Soni,’ the directors felt that this would probably be mispronounced in English, as ‘so-nigh.’  But the international (Latin) base </w:t>
            </w:r>
            <w:r>
              <w:rPr>
                <w:rFonts w:ascii="Garamond" w:hAnsi="Garamond"/>
                <w:i/>
                <w:sz w:val="24"/>
              </w:rPr>
              <w:t>‘son,</w:t>
            </w:r>
            <w:r>
              <w:rPr>
                <w:rFonts w:ascii="Garamond" w:hAnsi="Garamond"/>
                <w:sz w:val="24"/>
              </w:rPr>
              <w:t xml:space="preserve">’ meaning ‘sound,’ was good, and an alteration of the final ‘i’ to ‘y’ would suggest ‘sonny,’ and give the name a homely, affectionate touch. If, however, the actual name was spelled ‘Sonny’ the Japanese would pronounce this as ‘son-ny,’ and this might be associated with the Japanese word for ‘loss,’ </w:t>
            </w:r>
            <w:r>
              <w:rPr>
                <w:rFonts w:ascii="Garamond" w:hAnsi="Garamond"/>
                <w:i/>
                <w:sz w:val="24"/>
              </w:rPr>
              <w:t>son</w:t>
            </w:r>
            <w:r>
              <w:rPr>
                <w:rFonts w:ascii="Garamond" w:hAnsi="Garamond"/>
                <w:sz w:val="24"/>
              </w:rPr>
              <w:t>. This would not do, since the radio was clearly intended to produce a profit!  Finally, the variant Sony was decided on for the transistor, and the name passed to the company as a whole in 1958.</w:t>
            </w:r>
          </w:p>
          <w:p w:rsidR="00AC7AED" w:rsidRDefault="00AC7AED" w:rsidP="00DF43CB">
            <w:pPr>
              <w:ind w:left="360" w:right="360" w:firstLine="720"/>
              <w:jc w:val="both"/>
              <w:rPr>
                <w:rFonts w:ascii="Garamond" w:hAnsi="Garamond"/>
                <w:sz w:val="24"/>
              </w:rPr>
            </w:pPr>
          </w:p>
          <w:p w:rsidR="00AC7AED" w:rsidRDefault="00AC7AED" w:rsidP="00DF43CB">
            <w:pPr>
              <w:tabs>
                <w:tab w:val="left" w:pos="990"/>
              </w:tabs>
              <w:ind w:left="360" w:right="360"/>
              <w:jc w:val="both"/>
              <w:rPr>
                <w:rFonts w:ascii="Garamond" w:hAnsi="Garamond"/>
                <w:b/>
                <w:sz w:val="24"/>
                <w:u w:val="single"/>
              </w:rPr>
            </w:pPr>
            <w:r>
              <w:rPr>
                <w:rFonts w:ascii="Garamond" w:hAnsi="Garamond"/>
                <w:b/>
                <w:sz w:val="24"/>
                <w:u w:val="single"/>
              </w:rPr>
              <w:tab/>
            </w:r>
          </w:p>
          <w:p w:rsidR="00AC7AED" w:rsidRDefault="00AC7AED" w:rsidP="00DF43CB">
            <w:pPr>
              <w:ind w:left="360" w:right="360"/>
              <w:rPr>
                <w:rFonts w:ascii="Garamond" w:hAnsi="Garamond"/>
                <w:sz w:val="24"/>
              </w:rPr>
            </w:pPr>
            <w:proofErr w:type="gramStart"/>
            <w:r>
              <w:rPr>
                <w:rFonts w:ascii="Garamond" w:hAnsi="Garamond"/>
                <w:sz w:val="24"/>
                <w:vertAlign w:val="superscript"/>
              </w:rPr>
              <w:t>a</w:t>
            </w:r>
            <w:r>
              <w:rPr>
                <w:rFonts w:ascii="Garamond" w:hAnsi="Garamond"/>
                <w:sz w:val="24"/>
              </w:rPr>
              <w:t>Reprinted</w:t>
            </w:r>
            <w:proofErr w:type="gramEnd"/>
            <w:r>
              <w:rPr>
                <w:rFonts w:ascii="Garamond" w:hAnsi="Garamond"/>
                <w:sz w:val="24"/>
              </w:rPr>
              <w:t xml:space="preserve"> from </w:t>
            </w:r>
            <w:smartTag w:uri="urn:schemas-microsoft-com:office:smarttags" w:element="place">
              <w:smartTag w:uri="urn:schemas-microsoft-com:office:smarttags" w:element="PlaceName">
                <w:r>
                  <w:rPr>
                    <w:rFonts w:ascii="Garamond" w:hAnsi="Garamond"/>
                    <w:sz w:val="24"/>
                  </w:rPr>
                  <w:t>Adrian</w:t>
                </w:r>
              </w:smartTag>
              <w:r>
                <w:rPr>
                  <w:rFonts w:ascii="Garamond" w:hAnsi="Garamond"/>
                  <w:sz w:val="24"/>
                </w:rPr>
                <w:t xml:space="preserve"> </w:t>
              </w:r>
              <w:smartTag w:uri="urn:schemas-microsoft-com:office:smarttags" w:element="PlaceName">
                <w:r>
                  <w:rPr>
                    <w:rFonts w:ascii="Garamond" w:hAnsi="Garamond"/>
                    <w:sz w:val="24"/>
                  </w:rPr>
                  <w:t>Room</w:t>
                </w:r>
              </w:smartTag>
            </w:smartTag>
            <w:r>
              <w:rPr>
                <w:rFonts w:ascii="Garamond" w:hAnsi="Garamond"/>
                <w:sz w:val="24"/>
              </w:rPr>
              <w:t xml:space="preserve">, </w:t>
            </w:r>
            <w:r>
              <w:rPr>
                <w:rFonts w:ascii="Garamond" w:hAnsi="Garamond"/>
                <w:i/>
                <w:sz w:val="24"/>
              </w:rPr>
              <w:t>Dictionary of Trade Name Origins,</w:t>
            </w:r>
            <w:r>
              <w:rPr>
                <w:rFonts w:ascii="Garamond" w:hAnsi="Garamond"/>
                <w:sz w:val="24"/>
              </w:rPr>
              <w:t xml:space="preserve"> Routledge &amp; Kegan Paul, 1982.</w:t>
            </w:r>
          </w:p>
        </w:tc>
      </w:tr>
    </w:tbl>
    <w:p w:rsidR="00AC7AED" w:rsidRDefault="00AC7AED" w:rsidP="00AC7AED">
      <w:pPr>
        <w:spacing w:line="240" w:lineRule="atLeast"/>
        <w:jc w:val="center"/>
        <w:rPr>
          <w:rFonts w:ascii="Garamond" w:hAnsi="Garamond"/>
          <w:b/>
          <w:i/>
          <w:sz w:val="24"/>
        </w:rPr>
      </w:pPr>
    </w:p>
    <w:p w:rsidR="00AC7AED" w:rsidRDefault="00AC7AED" w:rsidP="00AC7AED">
      <w:pPr>
        <w:spacing w:line="240" w:lineRule="atLeast"/>
        <w:jc w:val="center"/>
        <w:rPr>
          <w:rFonts w:ascii="Garamond" w:hAnsi="Garamond"/>
          <w:b/>
          <w:i/>
          <w:sz w:val="24"/>
        </w:rPr>
      </w:pPr>
      <w:r>
        <w:rPr>
          <w:rFonts w:ascii="Garamond" w:hAnsi="Garamond"/>
          <w:b/>
          <w:i/>
          <w:sz w:val="24"/>
        </w:rPr>
        <w:t>BRANDING BRIEF 1-10</w:t>
      </w:r>
    </w:p>
    <w:p w:rsidR="00AC7AED" w:rsidRDefault="00AC7AED" w:rsidP="00AC7AED">
      <w:pPr>
        <w:spacing w:line="240" w:lineRule="atLeast"/>
        <w:jc w:val="center"/>
        <w:rPr>
          <w:rFonts w:ascii="Garamond" w:hAnsi="Garamond"/>
          <w:b/>
          <w:i/>
          <w:caps/>
          <w:sz w:val="24"/>
        </w:rPr>
      </w:pPr>
      <w:r>
        <w:rPr>
          <w:rFonts w:ascii="Garamond" w:hAnsi="Garamond"/>
          <w:b/>
          <w:i/>
          <w:caps/>
          <w:sz w:val="24"/>
        </w:rPr>
        <w:t>Branding Energy</w:t>
      </w:r>
      <w:r>
        <w:rPr>
          <w:rStyle w:val="EndnoteReference"/>
          <w:rFonts w:ascii="Garamond" w:hAnsi="Garamond"/>
          <w:b/>
          <w:i/>
          <w:caps/>
          <w:sz w:val="24"/>
        </w:rPr>
        <w:endnoteReference w:id="2"/>
      </w:r>
    </w:p>
    <w:p w:rsidR="00AC7AED" w:rsidRDefault="00AC7AED" w:rsidP="00AC7AED">
      <w:pPr>
        <w:spacing w:line="240" w:lineRule="atLeast"/>
        <w:rPr>
          <w:rFonts w:ascii="Garamond" w:hAnsi="Garamond"/>
          <w:sz w:val="24"/>
        </w:rPr>
      </w:pPr>
    </w:p>
    <w:p w:rsidR="00AC7AED" w:rsidRDefault="00AC7AED" w:rsidP="00AC7AED">
      <w:pPr>
        <w:spacing w:line="240" w:lineRule="atLeast"/>
        <w:rPr>
          <w:rFonts w:ascii="Garamond" w:hAnsi="Garamond"/>
          <w:sz w:val="24"/>
        </w:rPr>
      </w:pPr>
    </w:p>
    <w:p w:rsidR="00AC7AED" w:rsidRDefault="00AC7AED" w:rsidP="00AC7AED">
      <w:pPr>
        <w:rPr>
          <w:rFonts w:ascii="Garamond" w:hAnsi="Garamond"/>
          <w:sz w:val="24"/>
        </w:rPr>
      </w:pPr>
      <w:r>
        <w:rPr>
          <w:rFonts w:ascii="Garamond" w:hAnsi="Garamond"/>
          <w:sz w:val="24"/>
        </w:rPr>
        <w:t xml:space="preserve">Deregulation of the energy industry in some states during the mid-1990s enabled energy companies to compete for retail customers. The competition led many companies to step up their marketing programs in efforts to reach consumers recently empowered with the right to choose their energy provider. Spending on advertising in the energy industry rose from $80 million in 1996 to $180 million in 1997. Several companies also changed their names to make them more consumer-friendly, as when Panhandle Eastern became PanEnergy and Natural Gas Clearinghouse changed its name to NGC and later became Dynegy (for “Dynamic Energy”). Some power companies began offering loyalty programs while others appealed to consumers with cross-promotions with other utilities such as telephone and plumbing. </w:t>
      </w:r>
    </w:p>
    <w:p w:rsidR="00AC7AED" w:rsidRDefault="00AC7AED" w:rsidP="00AC7AED">
      <w:pPr>
        <w:rPr>
          <w:rFonts w:ascii="Garamond" w:hAnsi="Garamond"/>
          <w:sz w:val="24"/>
        </w:rPr>
      </w:pPr>
    </w:p>
    <w:p w:rsidR="00AC7AED" w:rsidRDefault="00AC7AED" w:rsidP="00AC7AED">
      <w:pPr>
        <w:rPr>
          <w:rFonts w:ascii="Garamond" w:hAnsi="Garamond"/>
          <w:sz w:val="24"/>
        </w:rPr>
      </w:pPr>
      <w:r>
        <w:rPr>
          <w:rFonts w:ascii="Garamond" w:hAnsi="Garamond"/>
          <w:sz w:val="24"/>
        </w:rPr>
        <w:t xml:space="preserve">One of the first companies to make a significant investment in raising its public profile was Cinergy Corporation. In 1995, the company signed a $6 million, five-year deal to rename </w:t>
      </w:r>
      <w:smartTag w:uri="urn:schemas-microsoft-com:office:smarttags" w:element="place">
        <w:smartTag w:uri="urn:schemas-microsoft-com:office:smarttags" w:element="City">
          <w:r>
            <w:rPr>
              <w:rFonts w:ascii="Garamond" w:hAnsi="Garamond"/>
              <w:sz w:val="24"/>
            </w:rPr>
            <w:t>Cincinnati</w:t>
          </w:r>
        </w:smartTag>
      </w:smartTag>
      <w:r>
        <w:rPr>
          <w:rFonts w:ascii="Garamond" w:hAnsi="Garamond"/>
          <w:sz w:val="24"/>
        </w:rPr>
        <w:t xml:space="preserve">’s Riverfront Stadium as Cinergy Field. Right before the deal was made, name recognition of the company stood at 50 percent in the greater </w:t>
      </w:r>
      <w:smartTag w:uri="urn:schemas-microsoft-com:office:smarttags" w:element="place">
        <w:smartTag w:uri="urn:schemas-microsoft-com:office:smarttags" w:element="City">
          <w:r>
            <w:rPr>
              <w:rFonts w:ascii="Garamond" w:hAnsi="Garamond"/>
              <w:sz w:val="24"/>
            </w:rPr>
            <w:t>Cincinnati</w:t>
          </w:r>
        </w:smartTag>
      </w:smartTag>
      <w:r>
        <w:rPr>
          <w:rFonts w:ascii="Garamond" w:hAnsi="Garamond"/>
          <w:sz w:val="24"/>
        </w:rPr>
        <w:t xml:space="preserve"> area. Nine months after the renaming, name recognition in </w:t>
      </w:r>
      <w:smartTag w:uri="urn:schemas-microsoft-com:office:smarttags" w:element="place">
        <w:smartTag w:uri="urn:schemas-microsoft-com:office:smarttags" w:element="City">
          <w:r>
            <w:rPr>
              <w:rFonts w:ascii="Garamond" w:hAnsi="Garamond"/>
              <w:sz w:val="24"/>
            </w:rPr>
            <w:t>Cincinnati</w:t>
          </w:r>
        </w:smartTag>
      </w:smartTag>
      <w:r>
        <w:rPr>
          <w:rFonts w:ascii="Garamond" w:hAnsi="Garamond"/>
          <w:sz w:val="24"/>
        </w:rPr>
        <w:t xml:space="preserve"> rose to 94 percent. Because of national television coverage for football and baseball, the Cinergy name became known all over the nation. Another energy company, Edison International, signed a $30 million, 20-year deal with the Walt Disney to rename the Anaheim Angels “Big A” stadium Edison International Field. </w:t>
      </w:r>
    </w:p>
    <w:p w:rsidR="00AC7AED" w:rsidRDefault="00AC7AED" w:rsidP="00AC7AED">
      <w:pPr>
        <w:rPr>
          <w:rFonts w:ascii="Garamond" w:hAnsi="Garamond"/>
          <w:sz w:val="24"/>
        </w:rPr>
      </w:pPr>
    </w:p>
    <w:p w:rsidR="00AC7AED" w:rsidRDefault="00AC7AED" w:rsidP="00AC7AED">
      <w:pPr>
        <w:rPr>
          <w:rFonts w:ascii="Garamond" w:hAnsi="Garamond"/>
          <w:sz w:val="24"/>
        </w:rPr>
      </w:pPr>
      <w:r>
        <w:rPr>
          <w:rFonts w:ascii="Garamond" w:hAnsi="Garamond"/>
          <w:sz w:val="24"/>
        </w:rPr>
        <w:t xml:space="preserve">Energy companies also used traditional advertising methods to build brand awareness. Following its 1998 name change, Dynegy was still relatively unknown among financial analysts and wholesale energy buyers according to a 2000 brand awareness study conducted by the company. The company suffered from a low-profile image despite the fact that it was one of the top three </w:t>
      </w:r>
      <w:proofErr w:type="gramStart"/>
      <w:r>
        <w:rPr>
          <w:rFonts w:ascii="Garamond" w:hAnsi="Garamond"/>
          <w:sz w:val="24"/>
        </w:rPr>
        <w:t>transporter’s</w:t>
      </w:r>
      <w:proofErr w:type="gramEnd"/>
      <w:r>
        <w:rPr>
          <w:rFonts w:ascii="Garamond" w:hAnsi="Garamond"/>
          <w:sz w:val="24"/>
        </w:rPr>
        <w:t xml:space="preserve"> in each interstate gas pipeline in </w:t>
      </w:r>
      <w:smartTag w:uri="urn:schemas-microsoft-com:office:smarttags" w:element="place">
        <w:r>
          <w:rPr>
            <w:rFonts w:ascii="Garamond" w:hAnsi="Garamond"/>
            <w:sz w:val="24"/>
          </w:rPr>
          <w:t>North America</w:t>
        </w:r>
      </w:smartTag>
      <w:r>
        <w:rPr>
          <w:rFonts w:ascii="Garamond" w:hAnsi="Garamond"/>
          <w:sz w:val="24"/>
        </w:rPr>
        <w:t xml:space="preserve"> and had annual revenues of $29.4 billion in 2000. To raise awareness, Dynegy </w:t>
      </w:r>
      <w:proofErr w:type="gramStart"/>
      <w:r>
        <w:rPr>
          <w:rFonts w:ascii="Garamond" w:hAnsi="Garamond"/>
          <w:sz w:val="24"/>
        </w:rPr>
        <w:t>debuted</w:t>
      </w:r>
      <w:proofErr w:type="gramEnd"/>
      <w:r>
        <w:rPr>
          <w:rFonts w:ascii="Garamond" w:hAnsi="Garamond"/>
          <w:sz w:val="24"/>
        </w:rPr>
        <w:t xml:space="preserve"> its first national television advertising campaign in 2001, comprised of several 30-second spots that used humor to illustrate the company’s services. In one ad, an actress playing a Dynegy employee arranges food on the dinner table so it resembles a power grid. Subsequent surveys revealed that recognition of the Dynegy brand increased significantly.</w:t>
      </w:r>
    </w:p>
    <w:p w:rsidR="00AC7AED" w:rsidRDefault="00AC7AED" w:rsidP="00AC7AED">
      <w:pPr>
        <w:rPr>
          <w:rFonts w:ascii="Garamond" w:hAnsi="Garamond"/>
          <w:sz w:val="24"/>
        </w:rPr>
      </w:pPr>
    </w:p>
    <w:p w:rsidR="00AC7AED" w:rsidRDefault="00AC7AED" w:rsidP="00AC7AED">
      <w:pPr>
        <w:rPr>
          <w:rFonts w:ascii="Garamond" w:hAnsi="Garamond"/>
          <w:sz w:val="24"/>
        </w:rPr>
      </w:pPr>
      <w:r>
        <w:rPr>
          <w:rFonts w:ascii="Garamond" w:hAnsi="Garamond"/>
          <w:sz w:val="24"/>
        </w:rPr>
        <w:t xml:space="preserve">Power </w:t>
      </w:r>
      <w:proofErr w:type="gramStart"/>
      <w:r>
        <w:rPr>
          <w:rFonts w:ascii="Garamond" w:hAnsi="Garamond"/>
          <w:sz w:val="24"/>
        </w:rPr>
        <w:t>company’s</w:t>
      </w:r>
      <w:proofErr w:type="gramEnd"/>
      <w:r>
        <w:rPr>
          <w:rFonts w:ascii="Garamond" w:hAnsi="Garamond"/>
          <w:sz w:val="24"/>
        </w:rPr>
        <w:t xml:space="preserve"> emphasis on marketing did not necessarily lead to a change in consumer behavior. In the two largest deregulated states, </w:t>
      </w:r>
      <w:smartTag w:uri="urn:schemas-microsoft-com:office:smarttags" w:element="State">
        <w:r>
          <w:rPr>
            <w:rFonts w:ascii="Garamond" w:hAnsi="Garamond"/>
            <w:sz w:val="24"/>
          </w:rPr>
          <w:t>California</w:t>
        </w:r>
      </w:smartTag>
      <w:r>
        <w:rPr>
          <w:rFonts w:ascii="Garamond" w:hAnsi="Garamond"/>
          <w:sz w:val="24"/>
        </w:rPr>
        <w:t xml:space="preserve"> and </w:t>
      </w:r>
      <w:smartTag w:uri="urn:schemas-microsoft-com:office:smarttags" w:element="place">
        <w:smartTag w:uri="urn:schemas-microsoft-com:office:smarttags" w:element="State">
          <w:r>
            <w:rPr>
              <w:rFonts w:ascii="Garamond" w:hAnsi="Garamond"/>
              <w:sz w:val="24"/>
            </w:rPr>
            <w:t>New York</w:t>
          </w:r>
        </w:smartTag>
      </w:smartTag>
      <w:r>
        <w:rPr>
          <w:rFonts w:ascii="Garamond" w:hAnsi="Garamond"/>
          <w:sz w:val="24"/>
        </w:rPr>
        <w:t xml:space="preserve">, only two percent of consumers switched utility companies. Allan Adamson, the managing director of brand expert Landor Associates, said of the energy industry, “This is a very difficult category to brand. Coming up with anything that’s differentiating to customers beyond consistent power delivery is hard.” This may help explain why spending on advertising in the category peaked at $180 million in 1997. In 2000, only three power companies (Enron, Southern, Pacific Gas &amp; Electric) had ad budgets that exceeded $10 million. </w:t>
      </w:r>
    </w:p>
    <w:p w:rsidR="00AC7AED" w:rsidRDefault="00AC7AED" w:rsidP="00AC7AED">
      <w:pPr>
        <w:rPr>
          <w:rFonts w:ascii="Garamond" w:hAnsi="Garamond"/>
          <w:sz w:val="24"/>
        </w:rPr>
      </w:pPr>
    </w:p>
    <w:p w:rsidR="00AC7AED" w:rsidRDefault="00AC7AED" w:rsidP="00AC7AED">
      <w:pPr>
        <w:rPr>
          <w:rFonts w:ascii="Garamond" w:hAnsi="Garamond"/>
          <w:sz w:val="24"/>
        </w:rPr>
      </w:pPr>
      <w:r>
        <w:rPr>
          <w:rFonts w:ascii="Garamond" w:hAnsi="Garamond"/>
          <w:sz w:val="24"/>
        </w:rPr>
        <w:t xml:space="preserve">Further troubles for the energy industry occurred when energy giant Enron, the leading energy marketer in the world and the seventh largest company in the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declared </w:t>
      </w:r>
      <w:r>
        <w:rPr>
          <w:rFonts w:ascii="Garamond" w:hAnsi="Garamond"/>
          <w:sz w:val="24"/>
        </w:rPr>
        <w:lastRenderedPageBreak/>
        <w:t xml:space="preserve">bankruptcy in December 2001. Enron had been a major advertiser, boasting the largest ad budget of all the national utility companies at $18 million in 2000. Enron also sponsored a stadium called Enron Field in </w:t>
      </w:r>
      <w:smartTag w:uri="urn:schemas-microsoft-com:office:smarttags" w:element="place">
        <w:smartTag w:uri="urn:schemas-microsoft-com:office:smarttags" w:element="City">
          <w:r>
            <w:rPr>
              <w:rFonts w:ascii="Garamond" w:hAnsi="Garamond"/>
              <w:sz w:val="24"/>
            </w:rPr>
            <w:t>Houston</w:t>
          </w:r>
        </w:smartTag>
      </w:smartTag>
      <w:r>
        <w:rPr>
          <w:rFonts w:ascii="Garamond" w:hAnsi="Garamond"/>
          <w:sz w:val="24"/>
        </w:rPr>
        <w:t xml:space="preserve">, where baseball’s Astros play. After investors and analysts raised questions about Enron’s business model, however, it was revealed that Enron had employed unorthodox accounting principles to misstate earnings. The company could not recover when credit rating companies downgraded Enron’s debt to junk status in November 2001. </w:t>
      </w:r>
    </w:p>
    <w:p w:rsidR="00AC7AED" w:rsidRDefault="00AC7AED" w:rsidP="00AC7AED">
      <w:pPr>
        <w:rPr>
          <w:rFonts w:ascii="Garamond" w:hAnsi="Garamond"/>
          <w:sz w:val="24"/>
        </w:rPr>
      </w:pPr>
      <w:r>
        <w:rPr>
          <w:rFonts w:ascii="Garamond" w:hAnsi="Garamond"/>
          <w:sz w:val="24"/>
        </w:rPr>
        <w:t xml:space="preserve">   </w:t>
      </w:r>
    </w:p>
    <w:p w:rsidR="00AC7AED" w:rsidRDefault="00AC7AED" w:rsidP="00AC7AED">
      <w:pPr>
        <w:tabs>
          <w:tab w:val="left" w:pos="360"/>
        </w:tabs>
        <w:spacing w:before="120"/>
        <w:rPr>
          <w:rFonts w:ascii="Garamond" w:hAnsi="Garamond"/>
          <w:i/>
          <w:sz w:val="24"/>
        </w:rPr>
      </w:pPr>
      <w:r>
        <w:rPr>
          <w:rFonts w:ascii="Garamond" w:hAnsi="Garamond"/>
          <w:sz w:val="24"/>
        </w:rPr>
        <w:t>Enron’s woes caused concern for the fate of the energy trading industry. Dynegy’s stock fell 37 percent in the three weeks after it abandoned a rescue acquisition of Enron. Share prices for energy firms slumped in the wake of Enron’s collapse. One energy consultant asserted, “Without a doubt, Enron’s collapse has given the energy trading industry a black eye.”  Other energy companies tried to shake the stigma. Dynegy CEO, Chuck Watson, predicted that the intense focus on the energy industry would help the major players by forcing weaker competitors to exit the business, and insisted that the “Enron failure [wasn’t] the failure of the energy merchant business.”  Other energy trading companies lined up to assure consumers that Enron’s troubles were not indicative of an industry-wide problem. A spokesperson for California-based Calpine said, “Calpine is not another Enron.”</w:t>
      </w:r>
    </w:p>
    <w:p w:rsidR="00AC7AED" w:rsidRDefault="00AC7AED" w:rsidP="00AC7AED"/>
    <w:sectPr w:rsidR="00AC7AED" w:rsidSect="000503A8">
      <w:headerReference w:type="even" r:id="rId8"/>
      <w:headerReference w:type="default" r:id="rId9"/>
      <w:footerReference w:type="even" r:id="rId10"/>
      <w:footerReference w:type="default" r:id="rId11"/>
      <w:endnotePr>
        <w:numFmt w:val="decimal"/>
        <w:numRestart w:val="eachSect"/>
      </w:endnotePr>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825" w:rsidRDefault="00125825">
      <w:r>
        <w:separator/>
      </w:r>
    </w:p>
  </w:endnote>
  <w:endnote w:type="continuationSeparator" w:id="0">
    <w:p w:rsidR="00125825" w:rsidRDefault="00125825">
      <w:r>
        <w:continuationSeparator/>
      </w:r>
    </w:p>
  </w:endnote>
  <w:endnote w:id="1">
    <w:p w:rsidR="00AC7AED" w:rsidRDefault="00AC7AED" w:rsidP="00AC7AED">
      <w:pPr>
        <w:pStyle w:val="endnotetext"/>
      </w:pPr>
      <w:r>
        <w:rPr>
          <w:rStyle w:val="EndnoteReference"/>
          <w:rFonts w:ascii="NewCenturySchlbk" w:hAnsi="NewCenturySchlbk"/>
        </w:rPr>
        <w:endnoteRef/>
      </w:r>
      <w:r>
        <w:rPr>
          <w:rStyle w:val="EndnoteReference"/>
          <w:rFonts w:ascii="Garamond" w:hAnsi="Garamond"/>
          <w:sz w:val="22"/>
        </w:rPr>
        <w:endnoteRef/>
      </w:r>
      <w:proofErr w:type="gramStart"/>
      <w:smartTag w:uri="urn:schemas-microsoft-com:office:smarttags" w:element="place">
        <w:smartTag w:uri="urn:schemas-microsoft-com:office:smarttags" w:element="PlaceName">
          <w:r>
            <w:rPr>
              <w:rFonts w:ascii="Garamond" w:hAnsi="Garamond"/>
              <w:sz w:val="22"/>
            </w:rPr>
            <w:t>Adrian</w:t>
          </w:r>
        </w:smartTag>
        <w:r>
          <w:rPr>
            <w:rFonts w:ascii="Garamond" w:hAnsi="Garamond"/>
            <w:sz w:val="22"/>
          </w:rPr>
          <w:t xml:space="preserve"> </w:t>
        </w:r>
        <w:smartTag w:uri="urn:schemas-microsoft-com:office:smarttags" w:element="PlaceName">
          <w:r>
            <w:rPr>
              <w:rFonts w:ascii="Garamond" w:hAnsi="Garamond"/>
              <w:sz w:val="22"/>
            </w:rPr>
            <w:t>Room</w:t>
          </w:r>
        </w:smartTag>
      </w:smartTag>
      <w:r>
        <w:rPr>
          <w:rFonts w:ascii="Garamond" w:hAnsi="Garamond"/>
          <w:sz w:val="22"/>
        </w:rPr>
        <w:t xml:space="preserve">, </w:t>
      </w:r>
      <w:r>
        <w:rPr>
          <w:rFonts w:ascii="Garamond" w:hAnsi="Garamond"/>
          <w:sz w:val="22"/>
          <w:u w:val="single"/>
        </w:rPr>
        <w:t>Dictionary of Trade Name Origins</w:t>
      </w:r>
      <w:r>
        <w:rPr>
          <w:rFonts w:ascii="Garamond" w:hAnsi="Garamond"/>
          <w:sz w:val="22"/>
        </w:rPr>
        <w:t>, Routledge &amp; Kegan Paul, 1982.</w:t>
      </w:r>
      <w:proofErr w:type="gramEnd"/>
    </w:p>
  </w:endnote>
  <w:endnote w:id="2">
    <w:p w:rsidR="00AC7AED" w:rsidRDefault="00AC7AED" w:rsidP="00AC7AED">
      <w:pPr>
        <w:pStyle w:val="EndnoteText0"/>
        <w:rPr>
          <w:rFonts w:ascii="Garamond" w:hAnsi="Garamond"/>
          <w:sz w:val="22"/>
        </w:rPr>
      </w:pPr>
      <w:r>
        <w:rPr>
          <w:rStyle w:val="EndnoteReference"/>
          <w:rFonts w:ascii="Garamond" w:hAnsi="Garamond"/>
          <w:sz w:val="22"/>
        </w:rPr>
        <w:endnoteRef/>
      </w:r>
      <w:r>
        <w:rPr>
          <w:rFonts w:ascii="Garamond" w:hAnsi="Garamond"/>
          <w:sz w:val="22"/>
        </w:rPr>
        <w:t xml:space="preserve"> </w:t>
      </w:r>
      <w:proofErr w:type="gramStart"/>
      <w:r>
        <w:rPr>
          <w:rFonts w:ascii="Garamond" w:hAnsi="Garamond"/>
          <w:sz w:val="22"/>
        </w:rPr>
        <w:t>Neil Weinberg and Daniel Fisher.</w:t>
      </w:r>
      <w:proofErr w:type="gramEnd"/>
      <w:r>
        <w:rPr>
          <w:rFonts w:ascii="Garamond" w:hAnsi="Garamond"/>
          <w:sz w:val="22"/>
        </w:rPr>
        <w:t xml:space="preserve"> </w:t>
      </w:r>
      <w:proofErr w:type="gramStart"/>
      <w:r>
        <w:rPr>
          <w:rFonts w:ascii="Garamond" w:hAnsi="Garamond"/>
          <w:sz w:val="22"/>
        </w:rPr>
        <w:t>“Power Player.”</w:t>
      </w:r>
      <w:proofErr w:type="gramEnd"/>
      <w:r>
        <w:rPr>
          <w:rFonts w:ascii="Garamond" w:hAnsi="Garamond"/>
          <w:sz w:val="22"/>
        </w:rPr>
        <w:t xml:space="preserve"> </w:t>
      </w:r>
      <w:proofErr w:type="gramStart"/>
      <w:r>
        <w:rPr>
          <w:rFonts w:ascii="Garamond" w:hAnsi="Garamond"/>
          <w:i/>
          <w:sz w:val="22"/>
        </w:rPr>
        <w:t>Forbes</w:t>
      </w:r>
      <w:r>
        <w:rPr>
          <w:rFonts w:ascii="Garamond" w:hAnsi="Garamond"/>
          <w:sz w:val="22"/>
        </w:rPr>
        <w:t xml:space="preserve">, </w:t>
      </w:r>
      <w:smartTag w:uri="urn:schemas-microsoft-com:office:smarttags" w:element="date">
        <w:smartTagPr>
          <w:attr w:name="Year" w:val="2001"/>
          <w:attr w:name="Day" w:val="24"/>
          <w:attr w:name="Month" w:val="12"/>
        </w:smartTagPr>
        <w:r>
          <w:rPr>
            <w:rFonts w:ascii="Garamond" w:hAnsi="Garamond"/>
            <w:sz w:val="22"/>
          </w:rPr>
          <w:t>December 24, 2001</w:t>
        </w:r>
      </w:smartTag>
      <w:r>
        <w:rPr>
          <w:rFonts w:ascii="Garamond" w:hAnsi="Garamond"/>
          <w:sz w:val="22"/>
        </w:rPr>
        <w:t>, p. 53-58; Bethany McLean.</w:t>
      </w:r>
      <w:proofErr w:type="gramEnd"/>
      <w:r>
        <w:rPr>
          <w:rFonts w:ascii="Garamond" w:hAnsi="Garamond"/>
          <w:sz w:val="22"/>
        </w:rPr>
        <w:t xml:space="preserve"> “Why Enron Went Bust.” </w:t>
      </w:r>
      <w:proofErr w:type="gramStart"/>
      <w:r>
        <w:rPr>
          <w:rFonts w:ascii="Garamond" w:hAnsi="Garamond"/>
          <w:i/>
          <w:sz w:val="22"/>
        </w:rPr>
        <w:t>Fortune</w:t>
      </w:r>
      <w:r>
        <w:rPr>
          <w:rFonts w:ascii="Garamond" w:hAnsi="Garamond"/>
          <w:sz w:val="22"/>
        </w:rPr>
        <w:t xml:space="preserve">, </w:t>
      </w:r>
      <w:smartTag w:uri="urn:schemas-microsoft-com:office:smarttags" w:element="date">
        <w:smartTagPr>
          <w:attr w:name="Year" w:val="2001"/>
          <w:attr w:name="Day" w:val="24"/>
          <w:attr w:name="Month" w:val="12"/>
        </w:smartTagPr>
        <w:r>
          <w:rPr>
            <w:rFonts w:ascii="Garamond" w:hAnsi="Garamond"/>
            <w:sz w:val="22"/>
          </w:rPr>
          <w:t>December 24, 2001</w:t>
        </w:r>
      </w:smartTag>
      <w:r>
        <w:rPr>
          <w:rFonts w:ascii="Garamond" w:hAnsi="Garamond"/>
          <w:sz w:val="22"/>
        </w:rPr>
        <w:t>, p. 58-72; Charlene Oldham.</w:t>
      </w:r>
      <w:proofErr w:type="gramEnd"/>
      <w:r>
        <w:rPr>
          <w:rFonts w:ascii="Garamond" w:hAnsi="Garamond"/>
          <w:sz w:val="22"/>
        </w:rPr>
        <w:t xml:space="preserve"> “Energy Traders Tidy Up.” </w:t>
      </w:r>
      <w:proofErr w:type="gramStart"/>
      <w:smartTag w:uri="urn:schemas-microsoft-com:office:smarttags" w:element="place">
        <w:smartTag w:uri="urn:schemas-microsoft-com:office:smarttags" w:element="City">
          <w:r>
            <w:rPr>
              <w:rFonts w:ascii="Garamond" w:hAnsi="Garamond"/>
              <w:i/>
              <w:sz w:val="22"/>
            </w:rPr>
            <w:t>Dallas</w:t>
          </w:r>
        </w:smartTag>
      </w:smartTag>
      <w:r>
        <w:rPr>
          <w:rFonts w:ascii="Garamond" w:hAnsi="Garamond"/>
          <w:i/>
          <w:sz w:val="22"/>
        </w:rPr>
        <w:t xml:space="preserve"> Morning News</w:t>
      </w:r>
      <w:r>
        <w:rPr>
          <w:rFonts w:ascii="Garamond" w:hAnsi="Garamond"/>
          <w:sz w:val="22"/>
        </w:rPr>
        <w:t xml:space="preserve">, </w:t>
      </w:r>
      <w:smartTag w:uri="urn:schemas-microsoft-com:office:smarttags" w:element="date">
        <w:smartTagPr>
          <w:attr w:name="Year" w:val="2001"/>
          <w:attr w:name="Day" w:val="18"/>
          <w:attr w:name="Month" w:val="12"/>
        </w:smartTagPr>
        <w:r>
          <w:rPr>
            <w:rFonts w:ascii="Garamond" w:hAnsi="Garamond"/>
            <w:sz w:val="22"/>
          </w:rPr>
          <w:t>December 18, 2001</w:t>
        </w:r>
      </w:smartTag>
      <w:r>
        <w:rPr>
          <w:rFonts w:ascii="Garamond" w:hAnsi="Garamond"/>
          <w:sz w:val="22"/>
        </w:rPr>
        <w:t>, p. 1D; Todd Wasserman.</w:t>
      </w:r>
      <w:proofErr w:type="gramEnd"/>
      <w:r>
        <w:rPr>
          <w:rFonts w:ascii="Garamond" w:hAnsi="Garamond"/>
          <w:sz w:val="22"/>
        </w:rPr>
        <w:t xml:space="preserve"> J. Dee Hill. “Feller Creates Dynegy’s Premiere TV Campaign.” </w:t>
      </w:r>
      <w:proofErr w:type="gramStart"/>
      <w:r>
        <w:rPr>
          <w:rFonts w:ascii="Garamond" w:hAnsi="Garamond"/>
          <w:i/>
          <w:sz w:val="22"/>
        </w:rPr>
        <w:t>Adweek</w:t>
      </w:r>
      <w:r>
        <w:rPr>
          <w:rFonts w:ascii="Garamond" w:hAnsi="Garamond"/>
          <w:sz w:val="22"/>
        </w:rPr>
        <w:t xml:space="preserve">, </w:t>
      </w:r>
      <w:smartTag w:uri="urn:schemas-microsoft-com:office:smarttags" w:element="date">
        <w:smartTagPr>
          <w:attr w:name="Year" w:val="2001"/>
          <w:attr w:name="Day" w:val="24"/>
          <w:attr w:name="Month" w:val="9"/>
        </w:smartTagPr>
        <w:r>
          <w:rPr>
            <w:rFonts w:ascii="Garamond" w:hAnsi="Garamond"/>
            <w:sz w:val="22"/>
          </w:rPr>
          <w:t>September 24, 2001</w:t>
        </w:r>
      </w:smartTag>
      <w:r>
        <w:rPr>
          <w:rFonts w:ascii="Garamond" w:hAnsi="Garamond"/>
          <w:sz w:val="22"/>
        </w:rPr>
        <w:t>, p. 4; Greg Hassell.</w:t>
      </w:r>
      <w:proofErr w:type="gramEnd"/>
      <w:r>
        <w:rPr>
          <w:rFonts w:ascii="Garamond" w:hAnsi="Garamond"/>
          <w:sz w:val="22"/>
        </w:rPr>
        <w:t xml:space="preserve"> “‘Screaming People’ Create Awareness.” Houston Chronicle, </w:t>
      </w:r>
      <w:smartTag w:uri="urn:schemas-microsoft-com:office:smarttags" w:element="date">
        <w:smartTagPr>
          <w:attr w:name="Year" w:val="2001"/>
          <w:attr w:name="Day" w:val="19"/>
          <w:attr w:name="Month" w:val="9"/>
        </w:smartTagPr>
        <w:r>
          <w:rPr>
            <w:rFonts w:ascii="Garamond" w:hAnsi="Garamond"/>
            <w:sz w:val="22"/>
          </w:rPr>
          <w:t>September 19, 2001</w:t>
        </w:r>
      </w:smartTag>
      <w:r>
        <w:rPr>
          <w:rFonts w:ascii="Garamond" w:hAnsi="Garamond"/>
          <w:sz w:val="22"/>
        </w:rPr>
        <w:t xml:space="preserve">, p. 1; “Where’s the Power Surge?” </w:t>
      </w:r>
      <w:proofErr w:type="gramStart"/>
      <w:r>
        <w:rPr>
          <w:rFonts w:ascii="Garamond" w:hAnsi="Garamond"/>
          <w:i/>
          <w:sz w:val="22"/>
        </w:rPr>
        <w:t>Brandweek</w:t>
      </w:r>
      <w:r>
        <w:rPr>
          <w:rFonts w:ascii="Garamond" w:hAnsi="Garamond"/>
          <w:sz w:val="22"/>
        </w:rPr>
        <w:t xml:space="preserve">, </w:t>
      </w:r>
      <w:smartTag w:uri="urn:schemas-microsoft-com:office:smarttags" w:element="date">
        <w:smartTagPr>
          <w:attr w:name="Year" w:val="2001"/>
          <w:attr w:name="Day" w:val="13"/>
          <w:attr w:name="Month" w:val="8"/>
        </w:smartTagPr>
        <w:r>
          <w:rPr>
            <w:rFonts w:ascii="Garamond" w:hAnsi="Garamond"/>
            <w:sz w:val="22"/>
          </w:rPr>
          <w:t>August 13, 2001</w:t>
        </w:r>
      </w:smartTag>
      <w:r>
        <w:rPr>
          <w:rFonts w:ascii="Garamond" w:hAnsi="Garamond"/>
          <w:sz w:val="22"/>
        </w:rPr>
        <w:t>, p. 31; Leonard S. Greenburger.</w:t>
      </w:r>
      <w:proofErr w:type="gramEnd"/>
      <w:r>
        <w:rPr>
          <w:rFonts w:ascii="Garamond" w:hAnsi="Garamond"/>
          <w:sz w:val="22"/>
        </w:rPr>
        <w:t xml:space="preserve"> </w:t>
      </w:r>
      <w:proofErr w:type="gramStart"/>
      <w:r>
        <w:rPr>
          <w:rFonts w:ascii="Garamond" w:hAnsi="Garamond"/>
          <w:sz w:val="22"/>
        </w:rPr>
        <w:t>“The Name in the Game.”</w:t>
      </w:r>
      <w:proofErr w:type="gramEnd"/>
      <w:r>
        <w:rPr>
          <w:rFonts w:ascii="Garamond" w:hAnsi="Garamond"/>
          <w:sz w:val="22"/>
        </w:rPr>
        <w:t xml:space="preserve"> </w:t>
      </w:r>
      <w:proofErr w:type="gramStart"/>
      <w:r>
        <w:rPr>
          <w:rFonts w:ascii="Garamond" w:hAnsi="Garamond"/>
          <w:i/>
          <w:sz w:val="22"/>
        </w:rPr>
        <w:t>Electric Perspectives</w:t>
      </w:r>
      <w:r>
        <w:rPr>
          <w:rFonts w:ascii="Garamond" w:hAnsi="Garamond"/>
          <w:sz w:val="22"/>
        </w:rPr>
        <w:t xml:space="preserve">, </w:t>
      </w:r>
      <w:smartTag w:uri="urn:schemas-microsoft-com:office:smarttags" w:element="date">
        <w:smartTagPr>
          <w:attr w:name="Year" w:val="1999"/>
          <w:attr w:name="Day" w:val="1"/>
          <w:attr w:name="Month" w:val="7"/>
        </w:smartTagPr>
        <w:r>
          <w:rPr>
            <w:rFonts w:ascii="Garamond" w:hAnsi="Garamond"/>
            <w:sz w:val="22"/>
          </w:rPr>
          <w:t>July 1, 1999</w:t>
        </w:r>
      </w:smartTag>
      <w:r>
        <w:rPr>
          <w:rFonts w:ascii="Garamond" w:hAnsi="Garamond"/>
          <w:sz w:val="22"/>
        </w:rPr>
        <w:t>, p. 52; Peter Fritsch and Lisa Brownlee.</w:t>
      </w:r>
      <w:proofErr w:type="gramEnd"/>
      <w:r>
        <w:rPr>
          <w:rFonts w:ascii="Garamond" w:hAnsi="Garamond"/>
          <w:sz w:val="22"/>
        </w:rPr>
        <w:t xml:space="preserve"> “Energy Firms Try To </w:t>
      </w:r>
      <w:bookmarkStart w:id="0" w:name="_GoBack"/>
      <w:bookmarkEnd w:id="0"/>
      <w:r>
        <w:rPr>
          <w:rFonts w:ascii="Garamond" w:hAnsi="Garamond"/>
          <w:sz w:val="22"/>
        </w:rPr>
        <w:t xml:space="preserve">Create Image for the Invisible.” </w:t>
      </w:r>
      <w:r>
        <w:rPr>
          <w:rFonts w:ascii="Garamond" w:hAnsi="Garamond"/>
          <w:i/>
          <w:sz w:val="22"/>
        </w:rPr>
        <w:t>Wall Street Journal</w:t>
      </w:r>
      <w:r>
        <w:rPr>
          <w:rFonts w:ascii="Garamond" w:hAnsi="Garamond"/>
          <w:sz w:val="22"/>
        </w:rPr>
        <w:t xml:space="preserve">, </w:t>
      </w:r>
      <w:smartTag w:uri="urn:schemas-microsoft-com:office:smarttags" w:element="date">
        <w:smartTagPr>
          <w:attr w:name="Year" w:val="1996"/>
          <w:attr w:name="Day" w:val="28"/>
          <w:attr w:name="Month" w:val="8"/>
        </w:smartTagPr>
        <w:r>
          <w:rPr>
            <w:rFonts w:ascii="Garamond" w:hAnsi="Garamond"/>
            <w:sz w:val="22"/>
          </w:rPr>
          <w:t>August 28, 1996</w:t>
        </w:r>
      </w:smartTag>
      <w:r>
        <w:rPr>
          <w:rFonts w:ascii="Garamond" w:hAnsi="Garamond"/>
          <w:sz w:val="22"/>
        </w:rPr>
        <w:t>, p. B6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ABB" w:rsidRDefault="00F60A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0ABB" w:rsidRDefault="00F60A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ABB" w:rsidRDefault="00F60ABB">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E51971">
      <w:rPr>
        <w:rStyle w:val="PageNumber"/>
        <w:rFonts w:ascii="Times New Roman" w:hAnsi="Times New Roman"/>
        <w:noProof/>
        <w:sz w:val="24"/>
      </w:rPr>
      <w:t>6</w:t>
    </w:r>
    <w:r>
      <w:rPr>
        <w:rStyle w:val="PageNumber"/>
        <w:rFonts w:ascii="Times New Roman" w:hAnsi="Times New Roman"/>
        <w:sz w:val="24"/>
      </w:rPr>
      <w:fldChar w:fldCharType="end"/>
    </w:r>
  </w:p>
  <w:p w:rsidR="00F60ABB" w:rsidRDefault="00F60AB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825" w:rsidRDefault="00125825">
      <w:r>
        <w:separator/>
      </w:r>
    </w:p>
  </w:footnote>
  <w:footnote w:type="continuationSeparator" w:id="0">
    <w:p w:rsidR="00125825" w:rsidRDefault="001258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ABB" w:rsidRDefault="00F60AB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0ABB" w:rsidRDefault="00F60A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ABB" w:rsidRDefault="00F60AB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4FBF06D8"/>
    <w:multiLevelType w:val="singleLevel"/>
    <w:tmpl w:val="0409000F"/>
    <w:lvl w:ilvl="0">
      <w:start w:val="3"/>
      <w:numFmt w:val="decimal"/>
      <w:lvlText w:val="%1."/>
      <w:lvlJc w:val="left"/>
      <w:pPr>
        <w:tabs>
          <w:tab w:val="num" w:pos="360"/>
        </w:tabs>
        <w:ind w:left="360" w:hanging="360"/>
      </w:pPr>
      <w:rPr>
        <w:rFonts w:hint="default"/>
        <w:i w:val="0"/>
      </w:rPr>
    </w:lvl>
  </w:abstractNum>
  <w:abstractNum w:abstractNumId="4">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068"/>
    <w:rsid w:val="00045009"/>
    <w:rsid w:val="000503A8"/>
    <w:rsid w:val="000B397A"/>
    <w:rsid w:val="00125825"/>
    <w:rsid w:val="003336D4"/>
    <w:rsid w:val="0041367F"/>
    <w:rsid w:val="0048146C"/>
    <w:rsid w:val="004B3D64"/>
    <w:rsid w:val="004F2F50"/>
    <w:rsid w:val="00582791"/>
    <w:rsid w:val="00611DFA"/>
    <w:rsid w:val="006B3922"/>
    <w:rsid w:val="00804068"/>
    <w:rsid w:val="008A107D"/>
    <w:rsid w:val="00950074"/>
    <w:rsid w:val="009676BC"/>
    <w:rsid w:val="009D347B"/>
    <w:rsid w:val="00AA23DA"/>
    <w:rsid w:val="00AC7AED"/>
    <w:rsid w:val="00AD0D61"/>
    <w:rsid w:val="00B16EEC"/>
    <w:rsid w:val="00B6054F"/>
    <w:rsid w:val="00BC0C8C"/>
    <w:rsid w:val="00D24615"/>
    <w:rsid w:val="00D37DC7"/>
    <w:rsid w:val="00D65D18"/>
    <w:rsid w:val="00D7564C"/>
    <w:rsid w:val="00DF43CB"/>
    <w:rsid w:val="00E51971"/>
    <w:rsid w:val="00F37434"/>
    <w:rsid w:val="00F60A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EndnoteText0">
    <w:name w:val="endnote text"/>
    <w:basedOn w:val="Normal"/>
    <w:semiHidden/>
  </w:style>
  <w:style w:type="character" w:styleId="EndnoteReference">
    <w:name w:val="end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sz w:val="24"/>
      <w:u w:val="single"/>
    </w:rPr>
  </w:style>
  <w:style w:type="paragraph" w:styleId="Heading4">
    <w:name w:val="heading 4"/>
    <w:basedOn w:val="Normal"/>
    <w:next w:val="Normal"/>
    <w:qFormat/>
    <w:pPr>
      <w:keepNext/>
      <w:tabs>
        <w:tab w:val="left" w:pos="360"/>
      </w:tabs>
      <w:outlineLvl w:val="3"/>
    </w:pPr>
    <w:rPr>
      <w:rFonts w:ascii="Times New Roman" w:hAnsi="Times New Roman"/>
      <w:b/>
      <w:sz w:val="24"/>
      <w:u w:val="single"/>
    </w:rPr>
  </w:style>
  <w:style w:type="paragraph" w:styleId="Heading5">
    <w:name w:val="heading 5"/>
    <w:basedOn w:val="Normal"/>
    <w:next w:val="Normal"/>
    <w:qFormat/>
    <w:pPr>
      <w:keepNext/>
      <w:jc w:val="center"/>
      <w:outlineLvl w:val="4"/>
    </w:pPr>
    <w:rPr>
      <w:rFonts w:ascii="Times New Roman" w:hAnsi="Times New Roman"/>
      <w:b/>
      <w:sz w:val="24"/>
    </w:rPr>
  </w:style>
  <w:style w:type="paragraph" w:styleId="Heading6">
    <w:name w:val="heading 6"/>
    <w:basedOn w:val="Normal"/>
    <w:next w:val="Normal"/>
    <w:qFormat/>
    <w:pPr>
      <w:keepNext/>
      <w:ind w:left="4320" w:firstLine="720"/>
      <w:outlineLvl w:val="5"/>
    </w:pPr>
    <w:rPr>
      <w:rFonts w:ascii="Times New Roman" w:hAnsi="Times New Roman"/>
      <w:sz w:val="24"/>
    </w:rPr>
  </w:style>
  <w:style w:type="paragraph" w:styleId="Heading7">
    <w:name w:val="heading 7"/>
    <w:basedOn w:val="Normal"/>
    <w:next w:val="Normal"/>
    <w:qFormat/>
    <w:pPr>
      <w:keepNext/>
      <w:ind w:left="1440" w:firstLine="720"/>
      <w:outlineLvl w:val="6"/>
    </w:pPr>
    <w:rPr>
      <w:rFonts w:ascii="Times New Roman" w:hAnsi="Times New Roman"/>
      <w:sz w:val="24"/>
    </w:rPr>
  </w:style>
  <w:style w:type="paragraph" w:styleId="Heading8">
    <w:name w:val="heading 8"/>
    <w:basedOn w:val="Normal"/>
    <w:next w:val="Normal"/>
    <w:qFormat/>
    <w:pPr>
      <w:keepNext/>
      <w:outlineLvl w:val="7"/>
    </w:pPr>
    <w:rPr>
      <w:rFonts w:ascii="Garamond" w:hAnsi="Garamond"/>
      <w:sz w:val="28"/>
    </w:rPr>
  </w:style>
  <w:style w:type="paragraph" w:styleId="Heading9">
    <w:name w:val="heading 9"/>
    <w:basedOn w:val="Normal"/>
    <w:next w:val="Normal"/>
    <w:qFormat/>
    <w:pPr>
      <w:keepNext/>
      <w:tabs>
        <w:tab w:val="left" w:pos="360"/>
      </w:tabs>
      <w:ind w:left="360" w:hanging="360"/>
      <w:outlineLvl w:val="8"/>
    </w:pPr>
    <w:rPr>
      <w:rFonts w:ascii="Garamond" w:hAnsi="Garamond"/>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rPr>
  </w:style>
  <w:style w:type="paragraph" w:styleId="BodyTextIndent2">
    <w:name w:val="Body Text Indent 2"/>
    <w:basedOn w:val="Normal"/>
    <w:pPr>
      <w:ind w:left="720" w:firstLine="720"/>
    </w:pPr>
    <w:rPr>
      <w:rFonts w:ascii="Times New Roman" w:hAnsi="Times New Roman"/>
      <w:sz w:val="24"/>
    </w:rPr>
  </w:style>
  <w:style w:type="paragraph" w:styleId="Title">
    <w:name w:val="Title"/>
    <w:basedOn w:val="Normal"/>
    <w:qFormat/>
    <w:pPr>
      <w:jc w:val="center"/>
    </w:pPr>
    <w:rPr>
      <w:rFonts w:ascii="Times New Roman" w:hAnsi="Times New Roman"/>
      <w:b/>
      <w:sz w:val="24"/>
    </w:rPr>
  </w:style>
  <w:style w:type="paragraph" w:styleId="BodyTextIndent3">
    <w:name w:val="Body Text Indent 3"/>
    <w:basedOn w:val="Normal"/>
    <w:pPr>
      <w:ind w:left="1440" w:hanging="720"/>
    </w:pPr>
    <w:rPr>
      <w:rFonts w:ascii="Times New Roman" w:hAnsi="Times New Roman"/>
      <w:sz w:val="24"/>
    </w:rPr>
  </w:style>
  <w:style w:type="paragraph" w:styleId="BodyText">
    <w:name w:val="Body Text"/>
    <w:basedOn w:val="Normal"/>
    <w:pPr>
      <w:tabs>
        <w:tab w:val="left" w:pos="360"/>
      </w:tabs>
    </w:pPr>
    <w:rPr>
      <w:rFonts w:ascii="Times New Roman" w:hAnsi="Times New Roman"/>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tabs>
        <w:tab w:val="left" w:pos="360"/>
      </w:tabs>
      <w:ind w:left="720" w:right="720"/>
    </w:pPr>
    <w:rPr>
      <w:rFonts w:ascii="Times New Roman" w:hAnsi="Times New Roman"/>
      <w:sz w:val="24"/>
    </w:rPr>
  </w:style>
  <w:style w:type="paragraph" w:styleId="BodyText20">
    <w:name w:val="Body Text 2"/>
    <w:basedOn w:val="Normal"/>
    <w:pPr>
      <w:tabs>
        <w:tab w:val="left" w:pos="360"/>
      </w:tabs>
      <w:ind w:left="360" w:hanging="360"/>
    </w:pPr>
    <w:rPr>
      <w:rFonts w:ascii="Times New Roman" w:hAnsi="Times New Roman"/>
      <w:sz w:val="24"/>
    </w:rPr>
  </w:style>
  <w:style w:type="paragraph" w:styleId="BodyText21">
    <w:name w:val="Body Text 2"/>
    <w:basedOn w:val="Normal"/>
    <w:pPr>
      <w:ind w:left="720"/>
    </w:pPr>
    <w:rPr>
      <w:rFonts w:ascii="Times New Roman" w:hAnsi="Times New Roman"/>
      <w:sz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sz w:val="24"/>
    </w:rPr>
  </w:style>
  <w:style w:type="paragraph" w:styleId="Footer">
    <w:name w:val="footer"/>
    <w:basedOn w:val="Normal"/>
    <w:pPr>
      <w:tabs>
        <w:tab w:val="center" w:pos="4320"/>
        <w:tab w:val="right" w:pos="8640"/>
      </w:tabs>
    </w:pPr>
  </w:style>
  <w:style w:type="paragraph" w:customStyle="1" w:styleId="endnotetext">
    <w:name w:val="endnote text"/>
    <w:basedOn w:val="Normal"/>
    <w:rPr>
      <w:rFonts w:ascii="Times New Roman" w:hAnsi="Times New Roman"/>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EndnoteText0">
    <w:name w:val="endnote text"/>
    <w:basedOn w:val="Normal"/>
    <w:semiHidden/>
  </w:style>
  <w:style w:type="character" w:styleId="EndnoteReference">
    <w:name w:val="end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2002-06-17T09:45:00Z</cp:lastPrinted>
  <dcterms:created xsi:type="dcterms:W3CDTF">2013-04-29T18:47:00Z</dcterms:created>
  <dcterms:modified xsi:type="dcterms:W3CDTF">2013-04-29T18:47:00Z</dcterms:modified>
</cp:coreProperties>
</file>