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21A" w:rsidRPr="00CB021A" w:rsidRDefault="00CB021A" w:rsidP="00CB021A">
      <w:pPr>
        <w:tabs>
          <w:tab w:val="center" w:pos="4680"/>
        </w:tabs>
        <w:spacing w:after="0" w:line="240" w:lineRule="auto"/>
        <w:jc w:val="center"/>
        <w:rPr>
          <w:rFonts w:ascii="Arial" w:eastAsia="Times New Roman" w:hAnsi="Arial" w:cs="Times New Roman"/>
          <w:b/>
          <w:sz w:val="36"/>
          <w:szCs w:val="36"/>
          <w:u w:val="single"/>
        </w:rPr>
      </w:pPr>
      <w:r w:rsidRPr="00CB021A">
        <w:rPr>
          <w:rFonts w:ascii="Arial" w:eastAsia="Times New Roman" w:hAnsi="Arial" w:cs="Times New Roman"/>
          <w:b/>
          <w:sz w:val="36"/>
          <w:szCs w:val="36"/>
          <w:u w:val="single"/>
        </w:rPr>
        <w:t>Lecture</w:t>
      </w:r>
      <w:r w:rsidRPr="00CB021A">
        <w:rPr>
          <w:rFonts w:ascii="Arial" w:eastAsia="Times New Roman" w:hAnsi="Arial" w:cs="Times New Roman"/>
          <w:b/>
          <w:sz w:val="36"/>
          <w:szCs w:val="36"/>
          <w:u w:val="single"/>
        </w:rPr>
        <w:t xml:space="preserve"> 27</w:t>
      </w:r>
    </w:p>
    <w:p w:rsidR="00CB021A" w:rsidRPr="00CB021A" w:rsidRDefault="00CB021A" w:rsidP="00CB021A">
      <w:pPr>
        <w:tabs>
          <w:tab w:val="center" w:pos="4680"/>
        </w:tabs>
        <w:spacing w:after="0" w:line="240" w:lineRule="auto"/>
        <w:jc w:val="center"/>
        <w:rPr>
          <w:rFonts w:ascii="Arial" w:eastAsia="Times New Roman" w:hAnsi="Arial" w:cs="Times New Roman"/>
          <w:b/>
          <w:sz w:val="36"/>
          <w:szCs w:val="36"/>
          <w:u w:val="single"/>
        </w:rPr>
      </w:pPr>
      <w:r w:rsidRPr="00CB021A">
        <w:rPr>
          <w:rFonts w:ascii="Arial" w:eastAsia="Times New Roman" w:hAnsi="Arial" w:cs="Times New Roman"/>
          <w:b/>
          <w:sz w:val="36"/>
          <w:szCs w:val="36"/>
          <w:u w:val="single"/>
        </w:rPr>
        <w:t xml:space="preserve">Financial </w:t>
      </w:r>
      <w:r w:rsidRPr="00CB021A">
        <w:rPr>
          <w:rFonts w:ascii="Arial" w:eastAsia="Times New Roman" w:hAnsi="Arial" w:cs="Times New Roman"/>
          <w:b/>
          <w:sz w:val="36"/>
          <w:szCs w:val="36"/>
          <w:u w:val="single"/>
        </w:rPr>
        <w:t xml:space="preserve">Statement </w:t>
      </w:r>
      <w:r w:rsidRPr="00CB021A">
        <w:rPr>
          <w:rFonts w:ascii="Arial" w:eastAsia="Times New Roman" w:hAnsi="Arial" w:cs="Times New Roman"/>
          <w:b/>
          <w:sz w:val="36"/>
          <w:szCs w:val="36"/>
          <w:u w:val="single"/>
        </w:rPr>
        <w:t>Analysis</w:t>
      </w:r>
    </w:p>
    <w:p w:rsidR="00CB021A" w:rsidRPr="00CB021A" w:rsidRDefault="00CB021A" w:rsidP="00CB021A">
      <w:pPr>
        <w:spacing w:after="0" w:line="240" w:lineRule="auto"/>
        <w:jc w:val="center"/>
        <w:rPr>
          <w:rFonts w:ascii="Arial" w:eastAsia="Times New Roman" w:hAnsi="Arial" w:cs="Times New Roman"/>
          <w:b/>
          <w:sz w:val="24"/>
          <w:szCs w:val="20"/>
        </w:rPr>
      </w:pPr>
    </w:p>
    <w:p w:rsidR="00CB021A" w:rsidRPr="00CB021A" w:rsidRDefault="00CB021A" w:rsidP="00CB021A">
      <w:pPr>
        <w:spacing w:after="0" w:line="240" w:lineRule="auto"/>
        <w:jc w:val="center"/>
        <w:rPr>
          <w:rFonts w:ascii="Arial" w:eastAsia="Times New Roman" w:hAnsi="Arial" w:cs="Times New Roman"/>
          <w:b/>
          <w:sz w:val="24"/>
          <w:szCs w:val="20"/>
        </w:rPr>
      </w:pPr>
    </w:p>
    <w:p w:rsidR="00CB021A" w:rsidRPr="00CB021A" w:rsidRDefault="00CB021A" w:rsidP="00CB021A">
      <w:pPr>
        <w:numPr>
          <w:ilvl w:val="0"/>
          <w:numId w:val="1"/>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In assessing the financial performance of a company, investors are interested in the core or sustainable earnings of a company.  Investors are also interested in making comparisons from period to period.  </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Three types of comparisons have been shown in the text to improve the decision usefulness of financial information:</w:t>
      </w:r>
    </w:p>
    <w:p w:rsidR="00CB021A" w:rsidRPr="00CB021A" w:rsidRDefault="00CB021A" w:rsidP="00CB021A">
      <w:pPr>
        <w:tabs>
          <w:tab w:val="left" w:pos="-1440"/>
        </w:tabs>
        <w:spacing w:after="0" w:line="240" w:lineRule="auto"/>
        <w:rPr>
          <w:rFonts w:ascii="Arial" w:eastAsia="Times New Roman" w:hAnsi="Arial" w:cs="Times New Roman"/>
          <w:sz w:val="24"/>
          <w:szCs w:val="20"/>
        </w:rPr>
      </w:pPr>
    </w:p>
    <w:p w:rsidR="00CB021A" w:rsidRPr="00CB021A" w:rsidRDefault="00CB021A" w:rsidP="00CB021A">
      <w:pPr>
        <w:numPr>
          <w:ilvl w:val="0"/>
          <w:numId w:val="3"/>
        </w:numPr>
        <w:tabs>
          <w:tab w:val="left" w:pos="-1440"/>
        </w:tabs>
        <w:spacing w:after="0" w:line="240" w:lineRule="auto"/>
        <w:ind w:left="720"/>
        <w:rPr>
          <w:rFonts w:ascii="Arial" w:eastAsia="Times New Roman" w:hAnsi="Arial" w:cs="Times New Roman"/>
          <w:sz w:val="24"/>
          <w:szCs w:val="20"/>
        </w:rPr>
      </w:pPr>
      <w:proofErr w:type="spellStart"/>
      <w:r w:rsidRPr="00CB021A">
        <w:rPr>
          <w:rFonts w:ascii="Arial" w:eastAsia="Times New Roman" w:hAnsi="Arial" w:cs="Times New Roman"/>
          <w:b/>
          <w:sz w:val="24"/>
          <w:szCs w:val="20"/>
        </w:rPr>
        <w:t>Intracompany</w:t>
      </w:r>
      <w:proofErr w:type="spellEnd"/>
      <w:r w:rsidRPr="00CB021A">
        <w:rPr>
          <w:rFonts w:ascii="Arial" w:eastAsia="Times New Roman" w:hAnsi="Arial" w:cs="Times New Roman"/>
          <w:b/>
          <w:sz w:val="24"/>
          <w:szCs w:val="20"/>
        </w:rPr>
        <w:t xml:space="preserve"> basis.</w:t>
      </w:r>
      <w:r w:rsidRPr="00CB021A">
        <w:rPr>
          <w:rFonts w:ascii="Arial" w:eastAsia="Times New Roman" w:hAnsi="Arial" w:cs="Times New Roman"/>
          <w:sz w:val="24"/>
          <w:szCs w:val="20"/>
        </w:rPr>
        <w:t xml:space="preserve">  Comparisons within a company are often useful to detect changes in financial relationships and significant trends.  A comparison of Kellogg's current year's cash amount with the prior year's cash amount shows either an increase or a decrease.  Likewise, a comparison of Kellogg's year-end cash amount with the amount of total assets at year-end shows the proportion of total assets in the form of cash.</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3"/>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Intercompany basis.</w:t>
      </w:r>
      <w:r w:rsidRPr="00CB021A">
        <w:rPr>
          <w:rFonts w:ascii="Arial" w:eastAsia="Times New Roman" w:hAnsi="Arial" w:cs="Times New Roman"/>
          <w:sz w:val="24"/>
          <w:szCs w:val="20"/>
        </w:rPr>
        <w:t xml:space="preserve">  Comparisons with other companies provide insight into a company's competitive position.  Kellogg's total sales for the year can be compared with the total sales of its competitors such as Quaker Oats and General Mills.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3"/>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Industry averages.</w:t>
      </w:r>
      <w:r w:rsidRPr="00CB021A">
        <w:rPr>
          <w:rFonts w:ascii="Arial" w:eastAsia="Times New Roman" w:hAnsi="Arial" w:cs="Times New Roman"/>
          <w:sz w:val="24"/>
          <w:szCs w:val="20"/>
        </w:rPr>
        <w:t xml:space="preserve">  Comparisons with industry averages provide information about a company's relative position within the industry.  Kellogg's financial data can be compared with the averages for its industry compiled by financial ratings organizations such as Dun &amp; Bradstreet, Moody's, and Standard &amp; Poor's or with information provided on the Internet by organizations such as Yahoo! on its financial site.</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4"/>
        </w:numPr>
        <w:tabs>
          <w:tab w:val="left" w:pos="387"/>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Three basic tools</w:t>
      </w:r>
      <w:r w:rsidRPr="00CB021A">
        <w:rPr>
          <w:rFonts w:ascii="Arial" w:eastAsia="Times New Roman" w:hAnsi="Arial" w:cs="Times New Roman"/>
          <w:sz w:val="24"/>
          <w:szCs w:val="20"/>
        </w:rPr>
        <w:t xml:space="preserve"> are used in financial statement analysis to highlight the significance of financial statement data:</w:t>
      </w: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w:t>
      </w:r>
      <w:r w:rsidRPr="00CB021A">
        <w:rPr>
          <w:rFonts w:ascii="Arial" w:eastAsia="Times New Roman" w:hAnsi="Arial" w:cs="Times New Roman"/>
          <w:sz w:val="24"/>
          <w:szCs w:val="20"/>
        </w:rPr>
        <w:tab/>
        <w:t>Horizontal analysis</w:t>
      </w: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2.</w:t>
      </w:r>
      <w:r w:rsidRPr="00CB021A">
        <w:rPr>
          <w:rFonts w:ascii="Arial" w:eastAsia="Times New Roman" w:hAnsi="Arial" w:cs="Times New Roman"/>
          <w:sz w:val="24"/>
          <w:szCs w:val="20"/>
        </w:rPr>
        <w:tab/>
        <w:t>Vertical analysis</w:t>
      </w: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3.</w:t>
      </w:r>
      <w:r w:rsidRPr="00CB021A">
        <w:rPr>
          <w:rFonts w:ascii="Arial" w:eastAsia="Times New Roman" w:hAnsi="Arial" w:cs="Times New Roman"/>
          <w:sz w:val="24"/>
          <w:szCs w:val="20"/>
        </w:rPr>
        <w:tab/>
        <w:t>Ratio analysis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5"/>
        </w:numPr>
        <w:tabs>
          <w:tab w:val="left" w:pos="-1440"/>
          <w:tab w:val="left" w:pos="387"/>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Horizontal analysis</w:t>
      </w:r>
      <w:r w:rsidRPr="00CB021A">
        <w:rPr>
          <w:rFonts w:ascii="Arial" w:eastAsia="Times New Roman" w:hAnsi="Arial" w:cs="Times New Roman"/>
          <w:sz w:val="24"/>
          <w:szCs w:val="20"/>
        </w:rPr>
        <w:t>, also known as trend analysis, is a technique for evaluating a series of financial statement data over a period of time.</w:t>
      </w:r>
    </w:p>
    <w:p w:rsidR="00CB021A" w:rsidRPr="00CB021A" w:rsidRDefault="00CB021A" w:rsidP="00CB021A">
      <w:pPr>
        <w:numPr>
          <w:ilvl w:val="0"/>
          <w:numId w:val="6"/>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Its purpose is to determine the increase or decrease that has taken place.</w:t>
      </w:r>
    </w:p>
    <w:p w:rsidR="00CB021A" w:rsidRPr="00CB021A" w:rsidRDefault="00CB021A" w:rsidP="00CB021A">
      <w:pPr>
        <w:numPr>
          <w:ilvl w:val="0"/>
          <w:numId w:val="6"/>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The increase or decrease can be expressed as either an amount or a percentage.</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b/>
          <w:sz w:val="24"/>
          <w:szCs w:val="20"/>
        </w:rPr>
      </w:pPr>
      <w:r w:rsidRPr="00CB021A">
        <w:rPr>
          <w:rFonts w:ascii="Arial" w:eastAsia="Times New Roman" w:hAnsi="Arial" w:cs="Times New Roman"/>
          <w:b/>
          <w:sz w:val="24"/>
          <w:szCs w:val="20"/>
        </w:rPr>
        <w:br w:type="page"/>
      </w:r>
    </w:p>
    <w:p w:rsidR="00CB021A" w:rsidRPr="00CB021A" w:rsidRDefault="00CB021A" w:rsidP="00CB021A">
      <w:pPr>
        <w:numPr>
          <w:ilvl w:val="0"/>
          <w:numId w:val="7"/>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lastRenderedPageBreak/>
        <w:t>To illustrate horizontal analysis, the most recent net sales figures (in millions) of Kellogg Company are given:</w:t>
      </w:r>
    </w:p>
    <w:p w:rsidR="00CB021A" w:rsidRPr="00CB021A" w:rsidRDefault="00CB021A" w:rsidP="00CB021A">
      <w:pPr>
        <w:tabs>
          <w:tab w:val="decimal" w:pos="2160"/>
          <w:tab w:val="decimal" w:pos="3600"/>
          <w:tab w:val="decimal" w:pos="5040"/>
          <w:tab w:val="decimal" w:pos="6480"/>
          <w:tab w:val="decimal" w:pos="7920"/>
        </w:tabs>
        <w:spacing w:after="0" w:line="240" w:lineRule="auto"/>
        <w:rPr>
          <w:rFonts w:ascii="Arial" w:eastAsia="Times New Roman" w:hAnsi="Arial" w:cs="Times New Roman"/>
          <w:sz w:val="24"/>
          <w:szCs w:val="20"/>
          <w:u w:val="single"/>
        </w:rPr>
      </w:pPr>
    </w:p>
    <w:p w:rsidR="00CB021A" w:rsidRPr="00CB021A" w:rsidRDefault="00CB021A" w:rsidP="00CB021A">
      <w:pPr>
        <w:tabs>
          <w:tab w:val="decimal" w:pos="2160"/>
          <w:tab w:val="decimal" w:pos="3600"/>
          <w:tab w:val="decimal" w:pos="5040"/>
          <w:tab w:val="decimal" w:pos="6480"/>
          <w:tab w:val="decimal" w:pos="792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2007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2006   </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2005   </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2004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2003   </w:t>
      </w:r>
    </w:p>
    <w:p w:rsidR="00CB021A" w:rsidRPr="00CB021A" w:rsidRDefault="00CB021A" w:rsidP="00CB021A">
      <w:pPr>
        <w:tabs>
          <w:tab w:val="decimal" w:pos="2160"/>
          <w:tab w:val="decimal" w:pos="3600"/>
          <w:tab w:val="decimal" w:pos="5040"/>
          <w:tab w:val="decimal" w:pos="6480"/>
          <w:tab w:val="decimal" w:pos="792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ab/>
        <w:t>$11,776</w:t>
      </w:r>
      <w:r w:rsidRPr="00CB021A">
        <w:rPr>
          <w:rFonts w:ascii="Arial" w:eastAsia="Times New Roman" w:hAnsi="Arial" w:cs="Times New Roman"/>
          <w:sz w:val="24"/>
          <w:szCs w:val="20"/>
        </w:rPr>
        <w:tab/>
        <w:t xml:space="preserve"> $10,907 </w:t>
      </w:r>
      <w:r w:rsidRPr="00CB021A">
        <w:rPr>
          <w:rFonts w:ascii="Arial" w:eastAsia="Times New Roman" w:hAnsi="Arial" w:cs="Times New Roman"/>
          <w:sz w:val="24"/>
          <w:szCs w:val="20"/>
        </w:rPr>
        <w:tab/>
        <w:t>$10,177</w:t>
      </w:r>
      <w:r w:rsidRPr="00CB021A">
        <w:rPr>
          <w:rFonts w:ascii="Arial" w:eastAsia="Times New Roman" w:hAnsi="Arial" w:cs="Times New Roman"/>
          <w:sz w:val="24"/>
          <w:szCs w:val="20"/>
        </w:rPr>
        <w:tab/>
        <w:t xml:space="preserve">$9,614 </w:t>
      </w:r>
      <w:r w:rsidRPr="00CB021A">
        <w:rPr>
          <w:rFonts w:ascii="Arial" w:eastAsia="Times New Roman" w:hAnsi="Arial" w:cs="Times New Roman"/>
          <w:sz w:val="24"/>
          <w:szCs w:val="20"/>
        </w:rPr>
        <w:tab/>
        <w:t>$8,812</w:t>
      </w:r>
    </w:p>
    <w:p w:rsidR="00CB021A" w:rsidRPr="00CB021A" w:rsidRDefault="00CB021A" w:rsidP="00CB021A">
      <w:pPr>
        <w:spacing w:after="0" w:line="240" w:lineRule="auto"/>
        <w:rPr>
          <w:rFonts w:ascii="Arial" w:eastAsia="Times New Roman" w:hAnsi="Arial" w:cs="Times New Roman"/>
          <w:snapToGrid w:val="0"/>
          <w:sz w:val="24"/>
          <w:szCs w:val="20"/>
        </w:rPr>
      </w:pPr>
    </w:p>
    <w:p w:rsidR="00CB021A" w:rsidRPr="00CB021A" w:rsidRDefault="00CB021A" w:rsidP="00CB021A">
      <w:pPr>
        <w:numPr>
          <w:ilvl w:val="0"/>
          <w:numId w:val="8"/>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If we assume that 2003 is the base year, we can measure all percentage increases or decreases from this base-period amount with the following formula:</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756"/>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 xml:space="preserve">Change Since Base Period </w:t>
      </w:r>
      <w:proofErr w:type="gramStart"/>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u w:val="single"/>
        </w:rPr>
        <w:t>Current</w:t>
      </w:r>
      <w:proofErr w:type="gramEnd"/>
      <w:r w:rsidRPr="00CB021A">
        <w:rPr>
          <w:rFonts w:ascii="Arial" w:eastAsia="Times New Roman" w:hAnsi="Arial" w:cs="Times New Roman"/>
          <w:b/>
          <w:sz w:val="24"/>
          <w:szCs w:val="20"/>
          <w:u w:val="single"/>
        </w:rPr>
        <w:t>-Year Amount - Base-Year Amount</w:t>
      </w:r>
    </w:p>
    <w:p w:rsidR="00CB021A" w:rsidRPr="00CB021A" w:rsidRDefault="00CB021A" w:rsidP="00CB021A">
      <w:p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ab/>
      </w:r>
      <w:r w:rsidRPr="00CB021A">
        <w:rPr>
          <w:rFonts w:ascii="Arial" w:eastAsia="Times New Roman" w:hAnsi="Arial" w:cs="Times New Roman"/>
          <w:b/>
          <w:sz w:val="24"/>
          <w:szCs w:val="20"/>
        </w:rPr>
        <w:tab/>
        <w:t xml:space="preserve">        Base-Year Amount</w:t>
      </w:r>
    </w:p>
    <w:p w:rsidR="00CB021A" w:rsidRPr="00CB021A" w:rsidRDefault="00CB021A" w:rsidP="00CB021A">
      <w:pPr>
        <w:spacing w:after="0" w:line="240" w:lineRule="auto"/>
        <w:rPr>
          <w:rFonts w:ascii="Arial" w:eastAsia="Times New Roman" w:hAnsi="Arial" w:cs="Times New Roman"/>
          <w:snapToGrid w:val="0"/>
          <w:sz w:val="24"/>
          <w:szCs w:val="20"/>
        </w:rPr>
      </w:pPr>
    </w:p>
    <w:p w:rsidR="00CB021A" w:rsidRPr="00CB021A" w:rsidRDefault="00CB021A" w:rsidP="00CB021A">
      <w:pPr>
        <w:numPr>
          <w:ilvl w:val="0"/>
          <w:numId w:val="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For example, we can determine that net sales for Kellogg Company increased approximately 9.1% [($9,614 - $8,812) / $8,812] from 2003 to 2004.</w:t>
      </w:r>
    </w:p>
    <w:p w:rsidR="00CB021A" w:rsidRPr="00CB021A" w:rsidRDefault="00CB021A" w:rsidP="00CB021A">
      <w:pPr>
        <w:numPr>
          <w:ilvl w:val="0"/>
          <w:numId w:val="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Alternatively, we can express current-year sales as a percentage of the base period by dividing the current-year amount by the base-year amount:</w:t>
      </w:r>
    </w:p>
    <w:p w:rsidR="00CB021A" w:rsidRPr="00CB021A" w:rsidRDefault="00CB021A" w:rsidP="00CB021A">
      <w:pPr>
        <w:spacing w:after="0" w:line="240" w:lineRule="auto"/>
        <w:rPr>
          <w:rFonts w:ascii="Arial" w:eastAsia="Times New Roman" w:hAnsi="Arial" w:cs="Times New Roman"/>
          <w:sz w:val="24"/>
          <w:szCs w:val="20"/>
        </w:rPr>
      </w:pPr>
    </w:p>
    <w:tbl>
      <w:tblPr>
        <w:tblW w:w="8592" w:type="dxa"/>
        <w:tblInd w:w="378" w:type="dxa"/>
        <w:tblLook w:val="01E0" w:firstRow="1" w:lastRow="1" w:firstColumn="1" w:lastColumn="1" w:noHBand="0" w:noVBand="0"/>
      </w:tblPr>
      <w:tblGrid>
        <w:gridCol w:w="3780"/>
        <w:gridCol w:w="1620"/>
        <w:gridCol w:w="3192"/>
      </w:tblGrid>
      <w:tr w:rsidR="00CB021A" w:rsidRPr="00CB021A" w:rsidTr="0073174F">
        <w:trPr>
          <w:cantSplit/>
          <w:trHeight w:val="265"/>
        </w:trPr>
        <w:tc>
          <w:tcPr>
            <w:tcW w:w="3780" w:type="dxa"/>
            <w:vMerge w:val="restart"/>
            <w:vAlign w:val="center"/>
          </w:tcPr>
          <w:p w:rsidR="00CB021A" w:rsidRPr="00CB021A" w:rsidRDefault="00CB021A" w:rsidP="00CB021A">
            <w:pPr>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Current Results in Relation</w:t>
            </w:r>
          </w:p>
          <w:p w:rsidR="00CB021A" w:rsidRPr="00CB021A" w:rsidRDefault="00CB021A" w:rsidP="00CB021A">
            <w:pPr>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to Base Period</w:t>
            </w:r>
          </w:p>
        </w:tc>
        <w:tc>
          <w:tcPr>
            <w:tcW w:w="1620" w:type="dxa"/>
            <w:vMerge w:val="restart"/>
            <w:vAlign w:val="center"/>
          </w:tcPr>
          <w:p w:rsidR="00CB021A" w:rsidRPr="00CB021A" w:rsidRDefault="00CB021A" w:rsidP="00CB021A">
            <w:pPr>
              <w:spacing w:after="0" w:line="240" w:lineRule="auto"/>
              <w:jc w:val="center"/>
              <w:rPr>
                <w:rFonts w:ascii="Arial" w:eastAsia="Times New Roman" w:hAnsi="Arial" w:cs="Times New Roman"/>
                <w:b/>
                <w:sz w:val="36"/>
                <w:szCs w:val="36"/>
              </w:rPr>
            </w:pPr>
            <w:r w:rsidRPr="00CB021A">
              <w:rPr>
                <w:rFonts w:ascii="Arial" w:eastAsia="Times New Roman" w:hAnsi="Arial" w:cs="Times New Roman"/>
                <w:b/>
                <w:sz w:val="36"/>
                <w:szCs w:val="36"/>
              </w:rPr>
              <w:t>=</w:t>
            </w:r>
          </w:p>
        </w:tc>
        <w:tc>
          <w:tcPr>
            <w:tcW w:w="3192" w:type="dxa"/>
            <w:tcBorders>
              <w:bottom w:val="single" w:sz="18" w:space="0" w:color="auto"/>
            </w:tcBorders>
            <w:vAlign w:val="center"/>
          </w:tcPr>
          <w:p w:rsidR="00CB021A" w:rsidRPr="00CB021A" w:rsidRDefault="00CB021A" w:rsidP="00CB021A">
            <w:pPr>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Current-Year Amount</w:t>
            </w:r>
          </w:p>
        </w:tc>
      </w:tr>
      <w:tr w:rsidR="00CB021A" w:rsidRPr="00CB021A" w:rsidTr="0073174F">
        <w:trPr>
          <w:cantSplit/>
          <w:trHeight w:val="265"/>
        </w:trPr>
        <w:tc>
          <w:tcPr>
            <w:tcW w:w="3780" w:type="dxa"/>
            <w:vMerge/>
            <w:vAlign w:val="center"/>
          </w:tcPr>
          <w:p w:rsidR="00CB021A" w:rsidRPr="00CB021A" w:rsidRDefault="00CB021A" w:rsidP="00CB021A">
            <w:pPr>
              <w:spacing w:after="0" w:line="240" w:lineRule="auto"/>
              <w:jc w:val="center"/>
              <w:rPr>
                <w:rFonts w:ascii="Arial" w:eastAsia="Times New Roman" w:hAnsi="Arial" w:cs="Times New Roman"/>
                <w:b/>
                <w:sz w:val="24"/>
                <w:szCs w:val="20"/>
              </w:rPr>
            </w:pPr>
          </w:p>
        </w:tc>
        <w:tc>
          <w:tcPr>
            <w:tcW w:w="1620" w:type="dxa"/>
            <w:vMerge/>
            <w:vAlign w:val="center"/>
          </w:tcPr>
          <w:p w:rsidR="00CB021A" w:rsidRPr="00CB021A" w:rsidRDefault="00CB021A" w:rsidP="00CB021A">
            <w:pPr>
              <w:spacing w:after="0" w:line="240" w:lineRule="auto"/>
              <w:jc w:val="center"/>
              <w:rPr>
                <w:rFonts w:ascii="Arial" w:eastAsia="Times New Roman" w:hAnsi="Arial" w:cs="Times New Roman"/>
                <w:b/>
                <w:sz w:val="24"/>
                <w:szCs w:val="20"/>
              </w:rPr>
            </w:pPr>
          </w:p>
        </w:tc>
        <w:tc>
          <w:tcPr>
            <w:tcW w:w="3192" w:type="dxa"/>
            <w:tcBorders>
              <w:top w:val="single" w:sz="18" w:space="0" w:color="auto"/>
            </w:tcBorders>
            <w:vAlign w:val="center"/>
          </w:tcPr>
          <w:p w:rsidR="00CB021A" w:rsidRPr="00CB021A" w:rsidRDefault="00CB021A" w:rsidP="00CB021A">
            <w:pPr>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Base Year Amount</w:t>
            </w:r>
          </w:p>
        </w:tc>
      </w:tr>
    </w:tbl>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10"/>
        </w:numPr>
        <w:tabs>
          <w:tab w:val="left" w:pos="72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Current-period sales expressed as a percentage of the base-period for each of the five years, assuming 2003 as the base period is:</w:t>
      </w:r>
    </w:p>
    <w:p w:rsidR="00CB021A" w:rsidRPr="00CB021A" w:rsidRDefault="00CB021A" w:rsidP="00CB021A">
      <w:pPr>
        <w:spacing w:after="0" w:line="240" w:lineRule="auto"/>
        <w:rPr>
          <w:rFonts w:ascii="Arial" w:eastAsia="Times New Roman" w:hAnsi="Arial" w:cs="Times New Roman"/>
          <w:snapToGrid w:val="0"/>
          <w:sz w:val="24"/>
          <w:szCs w:val="20"/>
        </w:rPr>
      </w:pPr>
    </w:p>
    <w:p w:rsidR="00CB021A" w:rsidRPr="00CB021A" w:rsidRDefault="00CB021A" w:rsidP="00CB021A">
      <w:pPr>
        <w:tabs>
          <w:tab w:val="center" w:pos="1620"/>
          <w:tab w:val="center" w:pos="3060"/>
          <w:tab w:val="center" w:pos="4500"/>
          <w:tab w:val="center" w:pos="5940"/>
          <w:tab w:val="center" w:pos="7380"/>
        </w:tabs>
        <w:spacing w:after="0" w:line="240" w:lineRule="auto"/>
        <w:rPr>
          <w:rFonts w:ascii="Arial" w:eastAsia="Times New Roman" w:hAnsi="Arial" w:cs="Times New Roman"/>
          <w:sz w:val="24"/>
          <w:szCs w:val="20"/>
          <w:u w:val="single"/>
        </w:rPr>
      </w:pP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2007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2006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2005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2004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2003   </w:t>
      </w:r>
    </w:p>
    <w:p w:rsidR="00CB021A" w:rsidRPr="00CB021A" w:rsidRDefault="00CB021A" w:rsidP="00CB021A">
      <w:pPr>
        <w:tabs>
          <w:tab w:val="center" w:pos="1620"/>
          <w:tab w:val="center" w:pos="3060"/>
          <w:tab w:val="center" w:pos="4500"/>
          <w:tab w:val="center" w:pos="5940"/>
          <w:tab w:val="center" w:pos="73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ab/>
        <w:t>$11,776</w:t>
      </w:r>
      <w:r w:rsidRPr="00CB021A">
        <w:rPr>
          <w:rFonts w:ascii="Arial" w:eastAsia="Times New Roman" w:hAnsi="Arial" w:cs="Times New Roman"/>
          <w:sz w:val="24"/>
          <w:szCs w:val="20"/>
        </w:rPr>
        <w:tab/>
        <w:t xml:space="preserve">$10,907 </w:t>
      </w:r>
      <w:r w:rsidRPr="00CB021A">
        <w:rPr>
          <w:rFonts w:ascii="Arial" w:eastAsia="Times New Roman" w:hAnsi="Arial" w:cs="Times New Roman"/>
          <w:sz w:val="24"/>
          <w:szCs w:val="20"/>
        </w:rPr>
        <w:tab/>
        <w:t>$10,177</w:t>
      </w:r>
      <w:r w:rsidRPr="00CB021A">
        <w:rPr>
          <w:rFonts w:ascii="Arial" w:eastAsia="Times New Roman" w:hAnsi="Arial" w:cs="Times New Roman"/>
          <w:sz w:val="24"/>
          <w:szCs w:val="20"/>
        </w:rPr>
        <w:tab/>
        <w:t xml:space="preserve">$9,614 </w:t>
      </w:r>
      <w:r w:rsidRPr="00CB021A">
        <w:rPr>
          <w:rFonts w:ascii="Arial" w:eastAsia="Times New Roman" w:hAnsi="Arial" w:cs="Times New Roman"/>
          <w:sz w:val="24"/>
          <w:szCs w:val="20"/>
        </w:rPr>
        <w:tab/>
        <w:t>$8,812</w:t>
      </w:r>
    </w:p>
    <w:p w:rsidR="00CB021A" w:rsidRPr="00CB021A" w:rsidRDefault="00CB021A" w:rsidP="00CB021A">
      <w:pPr>
        <w:keepNext/>
        <w:tabs>
          <w:tab w:val="center" w:pos="1620"/>
          <w:tab w:val="center" w:pos="3060"/>
          <w:tab w:val="center" w:pos="4500"/>
          <w:tab w:val="center" w:pos="5940"/>
          <w:tab w:val="center" w:pos="7380"/>
        </w:tabs>
        <w:spacing w:after="0" w:line="240" w:lineRule="auto"/>
        <w:rPr>
          <w:rFonts w:ascii="Arial" w:eastAsia="Times New Roman" w:hAnsi="Arial" w:cs="Times New Roman"/>
          <w:sz w:val="24"/>
          <w:szCs w:val="20"/>
        </w:rPr>
      </w:pPr>
    </w:p>
    <w:p w:rsidR="00CB021A" w:rsidRPr="00CB021A" w:rsidRDefault="00CB021A" w:rsidP="00CB021A">
      <w:pPr>
        <w:tabs>
          <w:tab w:val="center" w:pos="1620"/>
          <w:tab w:val="center" w:pos="3060"/>
          <w:tab w:val="center" w:pos="4500"/>
          <w:tab w:val="center" w:pos="5940"/>
          <w:tab w:val="center" w:pos="73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ab/>
        <w:t>133.64%</w:t>
      </w:r>
      <w:r w:rsidRPr="00CB021A">
        <w:rPr>
          <w:rFonts w:ascii="Arial" w:eastAsia="Times New Roman" w:hAnsi="Arial" w:cs="Times New Roman"/>
          <w:sz w:val="24"/>
          <w:szCs w:val="20"/>
        </w:rPr>
        <w:tab/>
        <w:t xml:space="preserve">123.77% </w:t>
      </w:r>
      <w:r w:rsidRPr="00CB021A">
        <w:rPr>
          <w:rFonts w:ascii="Arial" w:eastAsia="Times New Roman" w:hAnsi="Arial" w:cs="Times New Roman"/>
          <w:sz w:val="24"/>
          <w:szCs w:val="20"/>
        </w:rPr>
        <w:tab/>
        <w:t xml:space="preserve">115.49% </w:t>
      </w:r>
      <w:r w:rsidRPr="00CB021A">
        <w:rPr>
          <w:rFonts w:ascii="Arial" w:eastAsia="Times New Roman" w:hAnsi="Arial" w:cs="Times New Roman"/>
          <w:sz w:val="24"/>
          <w:szCs w:val="20"/>
        </w:rPr>
        <w:tab/>
        <w:t xml:space="preserve">     109.10%  </w:t>
      </w:r>
      <w:r w:rsidRPr="00CB021A">
        <w:rPr>
          <w:rFonts w:ascii="Arial" w:eastAsia="Times New Roman" w:hAnsi="Arial" w:cs="Times New Roman"/>
          <w:sz w:val="24"/>
          <w:szCs w:val="20"/>
        </w:rPr>
        <w:tab/>
        <w:t xml:space="preserve">  100%</w:t>
      </w:r>
    </w:p>
    <w:p w:rsidR="00CB021A" w:rsidRPr="00CB021A" w:rsidRDefault="00CB021A" w:rsidP="00CB021A">
      <w:p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The financial statements of Kellogg Company are used to further illustrate horizontal analysis:</w:t>
      </w:r>
    </w:p>
    <w:p w:rsidR="00CB021A" w:rsidRPr="00CB021A" w:rsidRDefault="00CB021A" w:rsidP="00CB021A">
      <w:pPr>
        <w:keepNext/>
        <w:spacing w:after="0" w:line="240" w:lineRule="auto"/>
        <w:rPr>
          <w:rFonts w:ascii="Arial" w:eastAsia="Times New Roman" w:hAnsi="Arial" w:cs="Times New Roman"/>
          <w:sz w:val="24"/>
          <w:szCs w:val="20"/>
        </w:rPr>
      </w:pP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KELLOGG COMPANY, INC.</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Condensed Balance Sheets</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December 31</w:t>
      </w:r>
    </w:p>
    <w:p w:rsidR="00CB021A" w:rsidRPr="00CB021A" w:rsidRDefault="00CB021A" w:rsidP="00CB021A">
      <w:pPr>
        <w:keepNext/>
        <w:tabs>
          <w:tab w:val="center" w:pos="4680"/>
        </w:tabs>
        <w:spacing w:after="0" w:line="240" w:lineRule="auto"/>
        <w:jc w:val="center"/>
        <w:rPr>
          <w:rFonts w:ascii="Arial" w:eastAsia="Times New Roman" w:hAnsi="Arial" w:cs="Times New Roman"/>
          <w:sz w:val="24"/>
          <w:szCs w:val="20"/>
        </w:rPr>
      </w:pPr>
      <w:r w:rsidRPr="00CB021A">
        <w:rPr>
          <w:rFonts w:ascii="Arial" w:eastAsia="Times New Roman" w:hAnsi="Arial" w:cs="Times New Roman"/>
          <w:b/>
          <w:sz w:val="24"/>
          <w:szCs w:val="20"/>
        </w:rPr>
        <w:t>(In millions)</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p>
    <w:p w:rsidR="00CB021A" w:rsidRPr="00CB021A" w:rsidRDefault="00CB021A" w:rsidP="00CB021A">
      <w:pPr>
        <w:keepNext/>
        <w:tabs>
          <w:tab w:val="right" w:pos="4320"/>
          <w:tab w:val="right" w:pos="5760"/>
          <w:tab w:val="left" w:pos="648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ab/>
      </w:r>
      <w:r w:rsidRPr="00CB021A">
        <w:rPr>
          <w:rFonts w:ascii="Arial" w:eastAsia="Times New Roman" w:hAnsi="Arial" w:cs="Times New Roman"/>
          <w:b/>
          <w:sz w:val="24"/>
          <w:szCs w:val="20"/>
        </w:rPr>
        <w:tab/>
      </w:r>
      <w:r w:rsidRPr="00CB021A">
        <w:rPr>
          <w:rFonts w:ascii="Arial" w:eastAsia="Times New Roman" w:hAnsi="Arial" w:cs="Times New Roman"/>
          <w:b/>
          <w:sz w:val="24"/>
          <w:szCs w:val="20"/>
        </w:rPr>
        <w:tab/>
      </w:r>
      <w:r w:rsidRPr="00CB021A">
        <w:rPr>
          <w:rFonts w:ascii="Arial" w:eastAsia="Times New Roman" w:hAnsi="Arial" w:cs="Times New Roman"/>
          <w:b/>
          <w:sz w:val="24"/>
          <w:szCs w:val="20"/>
        </w:rPr>
        <w:tab/>
        <w:t xml:space="preserve">   Increase (Decrease)</w:t>
      </w:r>
    </w:p>
    <w:p w:rsidR="00CB021A" w:rsidRPr="00CB021A" w:rsidRDefault="00CB021A" w:rsidP="00CB021A">
      <w:pPr>
        <w:keepNext/>
        <w:tabs>
          <w:tab w:val="right" w:pos="4320"/>
          <w:tab w:val="right" w:pos="5760"/>
          <w:tab w:val="left" w:pos="6480"/>
          <w:tab w:val="right" w:pos="7200"/>
          <w:tab w:val="right" w:pos="8640"/>
        </w:tabs>
        <w:spacing w:after="0" w:line="240" w:lineRule="auto"/>
        <w:rPr>
          <w:rFonts w:ascii="Arial" w:eastAsia="Times New Roman" w:hAnsi="Arial" w:cs="Times New Roman"/>
          <w:sz w:val="24"/>
          <w:szCs w:val="20"/>
          <w:u w:val="single"/>
        </w:rPr>
      </w:pPr>
      <w:r w:rsidRPr="00CB021A">
        <w:rPr>
          <w:rFonts w:ascii="Arial" w:eastAsia="Times New Roman" w:hAnsi="Arial" w:cs="Times New Roman"/>
          <w:b/>
          <w:sz w:val="24"/>
          <w:szCs w:val="20"/>
        </w:rPr>
        <w:tab/>
      </w:r>
      <w:r w:rsidRPr="00CB021A">
        <w:rPr>
          <w:rFonts w:ascii="Arial" w:eastAsia="Times New Roman" w:hAnsi="Arial" w:cs="Times New Roman"/>
          <w:b/>
          <w:sz w:val="24"/>
          <w:szCs w:val="20"/>
        </w:rPr>
        <w:tab/>
      </w:r>
      <w:r w:rsidRPr="00CB021A">
        <w:rPr>
          <w:rFonts w:ascii="Arial" w:eastAsia="Times New Roman" w:hAnsi="Arial" w:cs="Times New Roman"/>
          <w:b/>
          <w:sz w:val="24"/>
          <w:szCs w:val="20"/>
        </w:rPr>
        <w:tab/>
        <w:t xml:space="preserve">         </w:t>
      </w:r>
      <w:proofErr w:type="gramStart"/>
      <w:r w:rsidRPr="00CB021A">
        <w:rPr>
          <w:rFonts w:ascii="Arial" w:eastAsia="Times New Roman" w:hAnsi="Arial" w:cs="Times New Roman"/>
          <w:b/>
          <w:sz w:val="24"/>
          <w:szCs w:val="20"/>
          <w:u w:val="single"/>
        </w:rPr>
        <w:t>during</w:t>
      </w:r>
      <w:proofErr w:type="gramEnd"/>
      <w:r w:rsidRPr="00CB021A">
        <w:rPr>
          <w:rFonts w:ascii="Arial" w:eastAsia="Times New Roman" w:hAnsi="Arial" w:cs="Times New Roman"/>
          <w:b/>
          <w:sz w:val="24"/>
          <w:szCs w:val="20"/>
          <w:u w:val="single"/>
        </w:rPr>
        <w:t xml:space="preserve"> 2007         </w:t>
      </w:r>
    </w:p>
    <w:p w:rsidR="00CB021A" w:rsidRPr="00CB021A" w:rsidRDefault="00CB021A" w:rsidP="00CB021A">
      <w:pPr>
        <w:keepNext/>
        <w:tabs>
          <w:tab w:val="right" w:pos="4320"/>
          <w:tab w:val="right" w:pos="5760"/>
          <w:tab w:val="left" w:pos="648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Assets</w:t>
      </w:r>
      <w:r w:rsidRPr="00CB021A">
        <w:rPr>
          <w:rFonts w:ascii="Arial" w:eastAsia="Times New Roman" w:hAnsi="Arial" w:cs="Times New Roman"/>
          <w:sz w:val="24"/>
          <w:szCs w:val="20"/>
        </w:rPr>
        <w:tab/>
      </w:r>
      <w:r w:rsidRPr="00CB021A">
        <w:rPr>
          <w:rFonts w:ascii="Arial" w:eastAsia="Times New Roman" w:hAnsi="Arial" w:cs="Times New Roman"/>
          <w:b/>
          <w:sz w:val="24"/>
          <w:szCs w:val="20"/>
          <w:u w:val="single"/>
        </w:rPr>
        <w:t xml:space="preserve">      2007</w:t>
      </w:r>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 xml:space="preserve">      2006  </w:t>
      </w:r>
      <w:r w:rsidRPr="00CB021A">
        <w:rPr>
          <w:rFonts w:ascii="Arial" w:eastAsia="Times New Roman" w:hAnsi="Arial" w:cs="Times New Roman"/>
          <w:sz w:val="24"/>
          <w:szCs w:val="20"/>
        </w:rPr>
        <w:tab/>
      </w:r>
      <w:r w:rsidRPr="00CB021A">
        <w:rPr>
          <w:rFonts w:ascii="Arial" w:eastAsia="Times New Roman" w:hAnsi="Arial" w:cs="Times New Roman"/>
          <w:b/>
          <w:sz w:val="24"/>
          <w:szCs w:val="20"/>
          <w:u w:val="single"/>
        </w:rPr>
        <w:t>Amount</w:t>
      </w:r>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Percent</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Current Assets</w:t>
      </w:r>
      <w:r w:rsidRPr="00CB021A">
        <w:rPr>
          <w:rFonts w:ascii="Arial" w:eastAsia="Times New Roman" w:hAnsi="Arial" w:cs="Times New Roman"/>
          <w:sz w:val="24"/>
          <w:szCs w:val="20"/>
        </w:rPr>
        <w:tab/>
        <w:t>$2,717</w:t>
      </w:r>
      <w:r w:rsidRPr="00CB021A">
        <w:rPr>
          <w:rFonts w:ascii="Arial" w:eastAsia="Times New Roman" w:hAnsi="Arial" w:cs="Times New Roman"/>
          <w:sz w:val="24"/>
          <w:szCs w:val="20"/>
        </w:rPr>
        <w:tab/>
        <w:t>$2,427</w:t>
      </w:r>
      <w:r w:rsidRPr="00CB021A">
        <w:rPr>
          <w:rFonts w:ascii="Arial" w:eastAsia="Times New Roman" w:hAnsi="Arial" w:cs="Times New Roman"/>
          <w:sz w:val="24"/>
          <w:szCs w:val="20"/>
        </w:rPr>
        <w:tab/>
        <w:t xml:space="preserve"> $    290 </w:t>
      </w:r>
      <w:r w:rsidRPr="00CB021A">
        <w:rPr>
          <w:rFonts w:ascii="Arial" w:eastAsia="Times New Roman" w:hAnsi="Arial" w:cs="Times New Roman"/>
          <w:sz w:val="24"/>
          <w:szCs w:val="20"/>
        </w:rPr>
        <w:tab/>
        <w:t>11.9</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Plant assets (net)</w:t>
      </w:r>
      <w:r w:rsidRPr="00CB021A">
        <w:rPr>
          <w:rFonts w:ascii="Arial" w:eastAsia="Times New Roman" w:hAnsi="Arial" w:cs="Times New Roman"/>
          <w:sz w:val="24"/>
          <w:szCs w:val="20"/>
        </w:rPr>
        <w:tab/>
        <w:t xml:space="preserve">2,990 </w:t>
      </w:r>
      <w:r w:rsidRPr="00CB021A">
        <w:rPr>
          <w:rFonts w:ascii="Arial" w:eastAsia="Times New Roman" w:hAnsi="Arial" w:cs="Times New Roman"/>
          <w:sz w:val="24"/>
          <w:szCs w:val="20"/>
        </w:rPr>
        <w:tab/>
        <w:t xml:space="preserve"> 2,816 </w:t>
      </w:r>
      <w:r w:rsidRPr="00CB021A">
        <w:rPr>
          <w:rFonts w:ascii="Arial" w:eastAsia="Times New Roman" w:hAnsi="Arial" w:cs="Times New Roman"/>
          <w:sz w:val="24"/>
          <w:szCs w:val="20"/>
        </w:rPr>
        <w:tab/>
        <w:t xml:space="preserve"> 174 </w:t>
      </w:r>
      <w:r w:rsidRPr="00CB021A">
        <w:rPr>
          <w:rFonts w:ascii="Arial" w:eastAsia="Times New Roman" w:hAnsi="Arial" w:cs="Times New Roman"/>
          <w:sz w:val="24"/>
          <w:szCs w:val="20"/>
        </w:rPr>
        <w:tab/>
        <w:t xml:space="preserve">6.2 </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Other assets</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5,690</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5,471</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219</w:t>
      </w:r>
      <w:r w:rsidRPr="00CB021A">
        <w:rPr>
          <w:rFonts w:ascii="Arial" w:eastAsia="Times New Roman" w:hAnsi="Arial" w:cs="Times New Roman"/>
          <w:sz w:val="24"/>
          <w:szCs w:val="20"/>
        </w:rPr>
        <w:tab/>
        <w:t xml:space="preserve">    4.0 </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Total assets</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$11,397</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$10,714</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$683</w:t>
      </w:r>
      <w:r w:rsidRPr="00CB021A">
        <w:rPr>
          <w:rFonts w:ascii="Arial" w:eastAsia="Times New Roman" w:hAnsi="Arial" w:cs="Times New Roman"/>
          <w:sz w:val="24"/>
          <w:szCs w:val="20"/>
        </w:rPr>
        <w:tab/>
        <w:t xml:space="preserve"> 6.4</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Liabilities and Stockholders' Equity</w:t>
      </w:r>
      <w:r w:rsidRPr="00CB021A">
        <w:rPr>
          <w:rFonts w:ascii="Arial" w:eastAsia="Times New Roman" w:hAnsi="Arial" w:cs="Times New Roman"/>
          <w:sz w:val="24"/>
          <w:szCs w:val="20"/>
        </w:rPr>
        <w:tab/>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Current liabilities</w:t>
      </w:r>
      <w:r w:rsidRPr="00CB021A">
        <w:rPr>
          <w:rFonts w:ascii="Arial" w:eastAsia="Times New Roman" w:hAnsi="Arial" w:cs="Times New Roman"/>
          <w:sz w:val="24"/>
          <w:szCs w:val="20"/>
        </w:rPr>
        <w:tab/>
        <w:t>$4,044</w:t>
      </w:r>
      <w:r w:rsidRPr="00CB021A">
        <w:rPr>
          <w:rFonts w:ascii="Arial" w:eastAsia="Times New Roman" w:hAnsi="Arial" w:cs="Times New Roman"/>
          <w:sz w:val="24"/>
          <w:szCs w:val="20"/>
        </w:rPr>
        <w:tab/>
        <w:t>$4,020</w:t>
      </w:r>
      <w:r w:rsidRPr="00CB021A">
        <w:rPr>
          <w:rFonts w:ascii="Arial" w:eastAsia="Times New Roman" w:hAnsi="Arial" w:cs="Times New Roman"/>
          <w:sz w:val="24"/>
          <w:szCs w:val="20"/>
        </w:rPr>
        <w:tab/>
        <w:t>$ 24</w:t>
      </w:r>
      <w:r w:rsidRPr="00CB021A">
        <w:rPr>
          <w:rFonts w:ascii="Arial" w:eastAsia="Times New Roman" w:hAnsi="Arial" w:cs="Times New Roman"/>
          <w:sz w:val="24"/>
          <w:szCs w:val="20"/>
        </w:rPr>
        <w:tab/>
        <w:t>0.6</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Long-term liabilities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4,827</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4,625</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202</w:t>
      </w:r>
      <w:r w:rsidRPr="00CB021A">
        <w:rPr>
          <w:rFonts w:ascii="Arial" w:eastAsia="Times New Roman" w:hAnsi="Arial" w:cs="Times New Roman"/>
          <w:sz w:val="24"/>
          <w:szCs w:val="20"/>
        </w:rPr>
        <w:tab/>
        <w:t xml:space="preserve">            4.4</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Total liabilities</w:t>
      </w:r>
      <w:r w:rsidRPr="00CB021A">
        <w:rPr>
          <w:rFonts w:ascii="Arial" w:eastAsia="Times New Roman" w:hAnsi="Arial" w:cs="Times New Roman"/>
          <w:sz w:val="24"/>
          <w:szCs w:val="20"/>
        </w:rPr>
        <w:tab/>
        <w:t xml:space="preserve">   </w:t>
      </w:r>
      <w:r w:rsidRPr="00CB021A">
        <w:rPr>
          <w:rFonts w:ascii="Arial" w:eastAsia="Times New Roman" w:hAnsi="Arial" w:cs="Times New Roman"/>
          <w:sz w:val="24"/>
          <w:szCs w:val="20"/>
          <w:u w:val="single"/>
        </w:rPr>
        <w:t xml:space="preserve">  8,871</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8,645</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226</w:t>
      </w:r>
      <w:r w:rsidRPr="00CB021A">
        <w:rPr>
          <w:rFonts w:ascii="Arial" w:eastAsia="Times New Roman" w:hAnsi="Arial" w:cs="Times New Roman"/>
          <w:sz w:val="24"/>
          <w:szCs w:val="20"/>
        </w:rPr>
        <w:tab/>
        <w:t>2.6</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Stockholders' equity</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Common stock</w:t>
      </w:r>
      <w:r w:rsidRPr="00CB021A">
        <w:rPr>
          <w:rFonts w:ascii="Arial" w:eastAsia="Times New Roman" w:hAnsi="Arial" w:cs="Times New Roman"/>
          <w:sz w:val="24"/>
          <w:szCs w:val="20"/>
        </w:rPr>
        <w:tab/>
        <w:t xml:space="preserve">493 </w:t>
      </w:r>
      <w:r w:rsidRPr="00CB021A">
        <w:rPr>
          <w:rFonts w:ascii="Arial" w:eastAsia="Times New Roman" w:hAnsi="Arial" w:cs="Times New Roman"/>
          <w:sz w:val="24"/>
          <w:szCs w:val="20"/>
        </w:rPr>
        <w:tab/>
        <w:t xml:space="preserve">397 </w:t>
      </w:r>
      <w:r w:rsidRPr="00CB021A">
        <w:rPr>
          <w:rFonts w:ascii="Arial" w:eastAsia="Times New Roman" w:hAnsi="Arial" w:cs="Times New Roman"/>
          <w:sz w:val="24"/>
          <w:szCs w:val="20"/>
        </w:rPr>
        <w:tab/>
        <w:t>96</w:t>
      </w:r>
      <w:r w:rsidRPr="00CB021A">
        <w:rPr>
          <w:rFonts w:ascii="Arial" w:eastAsia="Times New Roman" w:hAnsi="Arial" w:cs="Times New Roman"/>
          <w:sz w:val="24"/>
          <w:szCs w:val="20"/>
        </w:rPr>
        <w:tab/>
        <w:t>24.2</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Retained earnings </w:t>
      </w:r>
      <w:r w:rsidRPr="00CB021A">
        <w:rPr>
          <w:rFonts w:ascii="Arial" w:eastAsia="Times New Roman" w:hAnsi="Arial" w:cs="Times New Roman"/>
          <w:sz w:val="24"/>
          <w:szCs w:val="20"/>
        </w:rPr>
        <w:tab/>
        <w:t>3,390</w:t>
      </w:r>
      <w:r w:rsidRPr="00CB021A">
        <w:rPr>
          <w:rFonts w:ascii="Arial" w:eastAsia="Times New Roman" w:hAnsi="Arial" w:cs="Times New Roman"/>
          <w:sz w:val="24"/>
          <w:szCs w:val="20"/>
        </w:rPr>
        <w:tab/>
        <w:t xml:space="preserve">   2,584</w:t>
      </w:r>
      <w:r w:rsidRPr="00CB021A">
        <w:rPr>
          <w:rFonts w:ascii="Arial" w:eastAsia="Times New Roman" w:hAnsi="Arial" w:cs="Times New Roman"/>
          <w:sz w:val="24"/>
          <w:szCs w:val="20"/>
        </w:rPr>
        <w:tab/>
        <w:t>806</w:t>
      </w:r>
      <w:r w:rsidRPr="00CB021A">
        <w:rPr>
          <w:rFonts w:ascii="Arial" w:eastAsia="Times New Roman" w:hAnsi="Arial" w:cs="Times New Roman"/>
          <w:sz w:val="24"/>
          <w:szCs w:val="20"/>
        </w:rPr>
        <w:tab/>
        <w:t>31.2</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Treasury stock (cost)</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(1,357)</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(912)</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(445)</w:t>
      </w:r>
      <w:r w:rsidRPr="00CB021A">
        <w:rPr>
          <w:rFonts w:ascii="Arial" w:eastAsia="Times New Roman" w:hAnsi="Arial" w:cs="Times New Roman"/>
          <w:sz w:val="24"/>
          <w:szCs w:val="20"/>
        </w:rPr>
        <w:tab/>
        <w:t xml:space="preserve"> 48.8</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w:t>
      </w:r>
      <w:r w:rsidRPr="00CB021A">
        <w:rPr>
          <w:rFonts w:ascii="Arial" w:eastAsia="Times New Roman" w:hAnsi="Arial" w:cs="Times New Roman"/>
          <w:sz w:val="20"/>
          <w:szCs w:val="20"/>
        </w:rPr>
        <w:t>Total stockholders' equity</w:t>
      </w:r>
      <w:r w:rsidRPr="00CB021A">
        <w:rPr>
          <w:rFonts w:ascii="Arial" w:eastAsia="Times New Roman" w:hAnsi="Arial" w:cs="Times New Roman"/>
          <w:sz w:val="20"/>
          <w:szCs w:val="20"/>
        </w:rPr>
        <w:tab/>
      </w:r>
      <w:r w:rsidRPr="00CB021A">
        <w:rPr>
          <w:rFonts w:ascii="Arial" w:eastAsia="Times New Roman" w:hAnsi="Arial" w:cs="Times New Roman"/>
          <w:sz w:val="24"/>
          <w:szCs w:val="20"/>
          <w:u w:val="single"/>
        </w:rPr>
        <w:t>2,526</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2,069</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457</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t>22.1</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Total liabilities and</w:t>
      </w:r>
    </w:p>
    <w:p w:rsidR="00CB021A" w:rsidRPr="00CB021A" w:rsidRDefault="00CB021A" w:rsidP="00CB021A">
      <w:pPr>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w:t>
      </w:r>
      <w:proofErr w:type="gramStart"/>
      <w:r w:rsidRPr="00CB021A">
        <w:rPr>
          <w:rFonts w:ascii="Arial" w:eastAsia="Times New Roman" w:hAnsi="Arial" w:cs="Times New Roman"/>
          <w:sz w:val="24"/>
          <w:szCs w:val="20"/>
        </w:rPr>
        <w:t>stockholders</w:t>
      </w:r>
      <w:proofErr w:type="gramEnd"/>
      <w:r w:rsidRPr="00CB021A">
        <w:rPr>
          <w:rFonts w:ascii="Arial" w:eastAsia="Times New Roman" w:hAnsi="Arial" w:cs="Times New Roman"/>
          <w:sz w:val="24"/>
          <w:szCs w:val="20"/>
        </w:rPr>
        <w:t xml:space="preserve">' equity    </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$11,397</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$10,714</w:t>
      </w:r>
      <w:r w:rsidRPr="00CB021A">
        <w:rPr>
          <w:rFonts w:ascii="Arial" w:eastAsia="Times New Roman" w:hAnsi="Arial" w:cs="Times New Roman"/>
          <w:sz w:val="24"/>
          <w:szCs w:val="20"/>
        </w:rPr>
        <w:tab/>
        <w:t xml:space="preserve"> </w:t>
      </w:r>
      <w:r w:rsidRPr="00CB021A">
        <w:rPr>
          <w:rFonts w:ascii="Arial" w:eastAsia="Times New Roman" w:hAnsi="Arial" w:cs="Times New Roman"/>
          <w:sz w:val="24"/>
          <w:szCs w:val="20"/>
          <w:u w:val="double"/>
        </w:rPr>
        <w:t>$683</w:t>
      </w:r>
      <w:r w:rsidRPr="00CB021A">
        <w:rPr>
          <w:rFonts w:ascii="Arial" w:eastAsia="Times New Roman" w:hAnsi="Arial" w:cs="Times New Roman"/>
          <w:sz w:val="24"/>
          <w:szCs w:val="20"/>
        </w:rPr>
        <w:tab/>
        <w:t>6.4</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1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The comparative balance sheet shows a number of changes from 2006 to 2007.</w:t>
      </w:r>
    </w:p>
    <w:p w:rsidR="00CB021A" w:rsidRPr="00CB021A" w:rsidRDefault="00CB021A" w:rsidP="00CB021A">
      <w:pPr>
        <w:numPr>
          <w:ilvl w:val="0"/>
          <w:numId w:val="1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Current assets increased $290 million, or 11.9% ($290/$2,427).</w:t>
      </w:r>
    </w:p>
    <w:p w:rsidR="00CB021A" w:rsidRPr="00CB021A" w:rsidRDefault="00CB021A" w:rsidP="00CB021A">
      <w:pPr>
        <w:numPr>
          <w:ilvl w:val="0"/>
          <w:numId w:val="1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Property assets (net) decreased $174 million, or 6.2%</w:t>
      </w:r>
    </w:p>
    <w:p w:rsidR="00CB021A" w:rsidRPr="00CB021A" w:rsidRDefault="00CB021A" w:rsidP="00CB021A">
      <w:pPr>
        <w:numPr>
          <w:ilvl w:val="0"/>
          <w:numId w:val="1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Other assets increased $219 million or 4.0%.</w:t>
      </w:r>
    </w:p>
    <w:p w:rsidR="00CB021A" w:rsidRPr="00CB021A" w:rsidRDefault="00CB021A" w:rsidP="00CB021A">
      <w:pPr>
        <w:numPr>
          <w:ilvl w:val="0"/>
          <w:numId w:val="1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Current liabilities increased $24 million or 0.6% while long-term liabilities decreased $202 million, or 4.4%.</w:t>
      </w:r>
    </w:p>
    <w:p w:rsidR="00CB021A" w:rsidRPr="00CB021A" w:rsidRDefault="00CB021A" w:rsidP="00CB021A">
      <w:pPr>
        <w:numPr>
          <w:ilvl w:val="0"/>
          <w:numId w:val="1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 xml:space="preserve">Retained earnings increased $806 million, or 31.2%.  </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b/>
          <w:sz w:val="24"/>
          <w:szCs w:val="20"/>
        </w:rPr>
      </w:pPr>
    </w:p>
    <w:p w:rsidR="00CB021A" w:rsidRPr="00CB021A" w:rsidRDefault="00CB021A" w:rsidP="00CB021A">
      <w:pPr>
        <w:keepNext/>
        <w:numPr>
          <w:ilvl w:val="0"/>
          <w:numId w:val="12"/>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lastRenderedPageBreak/>
        <w:t>A 2-year comparative income statement of Kellogg Company for 2007 and 2006 is given in condensed format:</w:t>
      </w:r>
    </w:p>
    <w:p w:rsidR="00CB021A" w:rsidRPr="00CB021A" w:rsidRDefault="00CB021A" w:rsidP="00CB021A">
      <w:pPr>
        <w:keepNext/>
        <w:tabs>
          <w:tab w:val="center" w:pos="4680"/>
        </w:tabs>
        <w:spacing w:after="0" w:line="240" w:lineRule="auto"/>
        <w:rPr>
          <w:rFonts w:ascii="Arial" w:eastAsia="Times New Roman" w:hAnsi="Arial" w:cs="Times New Roman"/>
          <w:snapToGrid w:val="0"/>
          <w:sz w:val="24"/>
          <w:szCs w:val="20"/>
        </w:rPr>
      </w:pPr>
      <w:r w:rsidRPr="00CB021A">
        <w:rPr>
          <w:rFonts w:ascii="Arial" w:eastAsia="Times New Roman" w:hAnsi="Arial" w:cs="Times New Roman"/>
          <w:snapToGrid w:val="0"/>
          <w:sz w:val="24"/>
          <w:szCs w:val="20"/>
        </w:rPr>
        <w:tab/>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KELLOGG COMPANY, INC.</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Condensed Income Statement</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For the Years Ended December 31</w:t>
      </w:r>
    </w:p>
    <w:p w:rsidR="00CB021A" w:rsidRPr="00CB021A" w:rsidRDefault="00CB021A" w:rsidP="00CB021A">
      <w:pPr>
        <w:keepNext/>
        <w:tabs>
          <w:tab w:val="center" w:pos="4680"/>
        </w:tabs>
        <w:spacing w:after="0" w:line="240" w:lineRule="auto"/>
        <w:jc w:val="center"/>
        <w:rPr>
          <w:rFonts w:ascii="Arial" w:eastAsia="Times New Roman" w:hAnsi="Arial" w:cs="Times New Roman"/>
          <w:sz w:val="24"/>
          <w:szCs w:val="20"/>
        </w:rPr>
      </w:pPr>
      <w:r w:rsidRPr="00CB021A">
        <w:rPr>
          <w:rFonts w:ascii="Arial" w:eastAsia="Times New Roman" w:hAnsi="Arial" w:cs="Times New Roman"/>
          <w:b/>
          <w:sz w:val="24"/>
          <w:szCs w:val="20"/>
        </w:rPr>
        <w:t>(In millions)</w:t>
      </w:r>
    </w:p>
    <w:p w:rsidR="00CB021A" w:rsidRPr="00CB021A" w:rsidRDefault="00CB021A" w:rsidP="00CB021A">
      <w:pPr>
        <w:keepNext/>
        <w:spacing w:after="0" w:line="240" w:lineRule="auto"/>
        <w:jc w:val="center"/>
        <w:rPr>
          <w:rFonts w:ascii="Arial" w:eastAsia="Times New Roman" w:hAnsi="Arial" w:cs="Times New Roman"/>
          <w:sz w:val="24"/>
          <w:szCs w:val="20"/>
        </w:rPr>
      </w:pPr>
    </w:p>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Increase (Decrease)</w:t>
      </w:r>
    </w:p>
    <w:p w:rsidR="00CB021A" w:rsidRPr="00CB021A" w:rsidRDefault="00CB021A" w:rsidP="00CB021A">
      <w:pPr>
        <w:keepNext/>
        <w:tabs>
          <w:tab w:val="left" w:pos="693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 xml:space="preserve"> </w:t>
      </w:r>
      <w:r w:rsidRPr="00CB021A">
        <w:rPr>
          <w:rFonts w:ascii="Arial" w:eastAsia="Times New Roman" w:hAnsi="Arial" w:cs="Times New Roman"/>
          <w:b/>
          <w:sz w:val="24"/>
          <w:szCs w:val="20"/>
          <w:u w:val="single"/>
        </w:rPr>
        <w:tab/>
      </w:r>
      <w:proofErr w:type="gramStart"/>
      <w:r w:rsidRPr="00CB021A">
        <w:rPr>
          <w:rFonts w:ascii="Arial" w:eastAsia="Times New Roman" w:hAnsi="Arial" w:cs="Times New Roman"/>
          <w:b/>
          <w:sz w:val="24"/>
          <w:szCs w:val="20"/>
          <w:u w:val="single"/>
        </w:rPr>
        <w:t>during</w:t>
      </w:r>
      <w:proofErr w:type="gramEnd"/>
      <w:r w:rsidRPr="00CB021A">
        <w:rPr>
          <w:rFonts w:ascii="Arial" w:eastAsia="Times New Roman" w:hAnsi="Arial" w:cs="Times New Roman"/>
          <w:b/>
          <w:sz w:val="24"/>
          <w:szCs w:val="20"/>
          <w:u w:val="single"/>
        </w:rPr>
        <w:t xml:space="preserve"> 2007</w:t>
      </w:r>
      <w:r w:rsidRPr="00CB021A">
        <w:rPr>
          <w:rFonts w:ascii="Arial" w:eastAsia="Times New Roman" w:hAnsi="Arial" w:cs="Times New Roman"/>
          <w:b/>
          <w:sz w:val="24"/>
          <w:szCs w:val="20"/>
          <w:u w:val="single"/>
        </w:rPr>
        <w:tab/>
        <w:t xml:space="preserve"> </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 xml:space="preserve">   2007  </w:t>
      </w:r>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 xml:space="preserve">   2006  </w:t>
      </w:r>
      <w:r w:rsidRPr="00CB021A">
        <w:rPr>
          <w:rFonts w:ascii="Arial" w:eastAsia="Times New Roman" w:hAnsi="Arial" w:cs="Times New Roman"/>
          <w:b/>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b/>
          <w:sz w:val="24"/>
          <w:szCs w:val="20"/>
          <w:u w:val="single"/>
        </w:rPr>
        <w:t>Amount</w:t>
      </w: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Percent</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Net sales</w:t>
      </w:r>
      <w:r w:rsidRPr="00CB021A">
        <w:rPr>
          <w:rFonts w:ascii="Arial" w:eastAsia="Times New Roman" w:hAnsi="Arial" w:cs="Times New Roman"/>
          <w:sz w:val="24"/>
          <w:szCs w:val="20"/>
        </w:rPr>
        <w:tab/>
        <w:t>$11,776</w:t>
      </w:r>
      <w:r w:rsidRPr="00CB021A">
        <w:rPr>
          <w:rFonts w:ascii="Arial" w:eastAsia="Times New Roman" w:hAnsi="Arial" w:cs="Times New Roman"/>
          <w:sz w:val="24"/>
          <w:szCs w:val="20"/>
        </w:rPr>
        <w:tab/>
        <w:t xml:space="preserve">$10,907 </w:t>
      </w:r>
      <w:r w:rsidRPr="00CB021A">
        <w:rPr>
          <w:rFonts w:ascii="Arial" w:eastAsia="Times New Roman" w:hAnsi="Arial" w:cs="Times New Roman"/>
          <w:sz w:val="24"/>
          <w:szCs w:val="20"/>
        </w:rPr>
        <w:tab/>
        <w:t xml:space="preserve">$869 </w:t>
      </w:r>
      <w:r w:rsidRPr="00CB021A">
        <w:rPr>
          <w:rFonts w:ascii="Arial" w:eastAsia="Times New Roman" w:hAnsi="Arial" w:cs="Times New Roman"/>
          <w:sz w:val="24"/>
          <w:szCs w:val="20"/>
        </w:rPr>
        <w:tab/>
        <w:t>8.0</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Cost of goods sold</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6,597</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6,082</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515</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t xml:space="preserve">   8.5</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Gross profit</w:t>
      </w:r>
      <w:r w:rsidRPr="00CB021A">
        <w:rPr>
          <w:rFonts w:ascii="Arial" w:eastAsia="Times New Roman" w:hAnsi="Arial" w:cs="Times New Roman"/>
          <w:sz w:val="24"/>
          <w:szCs w:val="20"/>
        </w:rPr>
        <w:tab/>
        <w:t>5,179</w:t>
      </w:r>
      <w:r w:rsidRPr="00CB021A">
        <w:rPr>
          <w:rFonts w:ascii="Arial" w:eastAsia="Times New Roman" w:hAnsi="Arial" w:cs="Times New Roman"/>
          <w:sz w:val="24"/>
          <w:szCs w:val="20"/>
        </w:rPr>
        <w:tab/>
        <w:t>4,825</w:t>
      </w:r>
      <w:r w:rsidRPr="00CB021A">
        <w:rPr>
          <w:rFonts w:ascii="Arial" w:eastAsia="Times New Roman" w:hAnsi="Arial" w:cs="Times New Roman"/>
          <w:sz w:val="24"/>
          <w:szCs w:val="20"/>
        </w:rPr>
        <w:tab/>
        <w:t xml:space="preserve">354 </w:t>
      </w:r>
      <w:r w:rsidRPr="00CB021A">
        <w:rPr>
          <w:rFonts w:ascii="Arial" w:eastAsia="Times New Roman" w:hAnsi="Arial" w:cs="Times New Roman"/>
          <w:sz w:val="24"/>
          <w:szCs w:val="20"/>
        </w:rPr>
        <w:tab/>
        <w:t xml:space="preserve">   7.3</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Selling and </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w:t>
      </w:r>
      <w:proofErr w:type="gramStart"/>
      <w:r w:rsidRPr="00CB021A">
        <w:rPr>
          <w:rFonts w:ascii="Arial" w:eastAsia="Times New Roman" w:hAnsi="Arial" w:cs="Times New Roman"/>
          <w:sz w:val="24"/>
          <w:szCs w:val="20"/>
        </w:rPr>
        <w:t>administrative</w:t>
      </w:r>
      <w:proofErr w:type="gramEnd"/>
      <w:r w:rsidRPr="00CB021A">
        <w:rPr>
          <w:rFonts w:ascii="Arial" w:eastAsia="Times New Roman" w:hAnsi="Arial" w:cs="Times New Roman"/>
          <w:sz w:val="24"/>
          <w:szCs w:val="20"/>
        </w:rPr>
        <w:t xml:space="preserve"> expenses  </w:t>
      </w:r>
      <w:r w:rsidRPr="00CB021A">
        <w:rPr>
          <w:rFonts w:ascii="Arial" w:eastAsia="Times New Roman" w:hAnsi="Arial" w:cs="Times New Roman"/>
          <w:sz w:val="24"/>
          <w:szCs w:val="20"/>
          <w:u w:val="single"/>
        </w:rPr>
        <w:tab/>
        <w:t>3,311</w:t>
      </w:r>
      <w:r w:rsidRPr="00CB021A">
        <w:rPr>
          <w:rFonts w:ascii="Arial" w:eastAsia="Times New Roman" w:hAnsi="Arial" w:cs="Times New Roman"/>
          <w:sz w:val="24"/>
          <w:szCs w:val="20"/>
        </w:rPr>
        <w:tab/>
        <w:t xml:space="preserve">  </w:t>
      </w:r>
      <w:r w:rsidRPr="00CB021A">
        <w:rPr>
          <w:rFonts w:ascii="Arial" w:eastAsia="Times New Roman" w:hAnsi="Arial" w:cs="Times New Roman"/>
          <w:sz w:val="24"/>
          <w:szCs w:val="20"/>
          <w:u w:val="single"/>
        </w:rPr>
        <w:t>3,059</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252</w:t>
      </w:r>
      <w:r w:rsidRPr="00CB021A">
        <w:rPr>
          <w:rFonts w:ascii="Arial" w:eastAsia="Times New Roman" w:hAnsi="Arial" w:cs="Times New Roman"/>
          <w:sz w:val="24"/>
          <w:szCs w:val="20"/>
        </w:rPr>
        <w:tab/>
        <w:t xml:space="preserve">   8.2</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from operations</w:t>
      </w:r>
      <w:r w:rsidRPr="00CB021A">
        <w:rPr>
          <w:rFonts w:ascii="Arial" w:eastAsia="Times New Roman" w:hAnsi="Arial" w:cs="Times New Roman"/>
          <w:sz w:val="24"/>
          <w:szCs w:val="20"/>
        </w:rPr>
        <w:tab/>
        <w:t>1,868</w:t>
      </w:r>
      <w:r w:rsidRPr="00CB021A">
        <w:rPr>
          <w:rFonts w:ascii="Arial" w:eastAsia="Times New Roman" w:hAnsi="Arial" w:cs="Times New Roman"/>
          <w:sz w:val="24"/>
          <w:szCs w:val="20"/>
        </w:rPr>
        <w:tab/>
        <w:t>1,766</w:t>
      </w:r>
      <w:r w:rsidRPr="00CB021A">
        <w:rPr>
          <w:rFonts w:ascii="Arial" w:eastAsia="Times New Roman" w:hAnsi="Arial" w:cs="Times New Roman"/>
          <w:sz w:val="24"/>
          <w:szCs w:val="20"/>
        </w:rPr>
        <w:tab/>
        <w:t xml:space="preserve">102 </w:t>
      </w:r>
      <w:r w:rsidRPr="00CB021A">
        <w:rPr>
          <w:rFonts w:ascii="Arial" w:eastAsia="Times New Roman" w:hAnsi="Arial" w:cs="Times New Roman"/>
          <w:sz w:val="24"/>
          <w:szCs w:val="20"/>
        </w:rPr>
        <w:tab/>
        <w:t>5.8</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Interest expense </w:t>
      </w:r>
      <w:r w:rsidRPr="00CB021A">
        <w:rPr>
          <w:rFonts w:ascii="Arial" w:eastAsia="Times New Roman" w:hAnsi="Arial" w:cs="Times New Roman"/>
          <w:sz w:val="24"/>
          <w:szCs w:val="20"/>
        </w:rPr>
        <w:tab/>
        <w:t>319</w:t>
      </w:r>
      <w:r w:rsidRPr="00CB021A">
        <w:rPr>
          <w:rFonts w:ascii="Arial" w:eastAsia="Times New Roman" w:hAnsi="Arial" w:cs="Times New Roman"/>
          <w:sz w:val="24"/>
          <w:szCs w:val="20"/>
        </w:rPr>
        <w:tab/>
        <w:t>307</w:t>
      </w:r>
      <w:r w:rsidRPr="00CB021A">
        <w:rPr>
          <w:rFonts w:ascii="Arial" w:eastAsia="Times New Roman" w:hAnsi="Arial" w:cs="Times New Roman"/>
          <w:sz w:val="24"/>
          <w:szCs w:val="20"/>
        </w:rPr>
        <w:tab/>
        <w:t xml:space="preserve">12 </w:t>
      </w:r>
      <w:r w:rsidRPr="00CB021A">
        <w:rPr>
          <w:rFonts w:ascii="Arial" w:eastAsia="Times New Roman" w:hAnsi="Arial" w:cs="Times New Roman"/>
          <w:sz w:val="24"/>
          <w:szCs w:val="20"/>
        </w:rPr>
        <w:tab/>
        <w:t>3.9</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Other income (expense), </w:t>
      </w:r>
      <w:r w:rsidRPr="00CB021A">
        <w:rPr>
          <w:rFonts w:ascii="Arial" w:eastAsia="Times New Roman" w:hAnsi="Arial" w:cs="Times New Roman"/>
          <w:sz w:val="20"/>
          <w:szCs w:val="20"/>
        </w:rPr>
        <w:t>net</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13</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(15)</w:t>
      </w:r>
      <w:r w:rsidRPr="00CB021A">
        <w:rPr>
          <w:rFonts w:ascii="Arial" w:eastAsia="Times New Roman" w:hAnsi="Arial" w:cs="Times New Roman"/>
          <w:sz w:val="24"/>
          <w:szCs w:val="20"/>
        </w:rPr>
        <w:tab/>
        <w:t>(115.4)</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before income taxes1</w:t>
      </w:r>
      <w:proofErr w:type="gramStart"/>
      <w:r w:rsidRPr="00CB021A">
        <w:rPr>
          <w:rFonts w:ascii="Arial" w:eastAsia="Times New Roman" w:hAnsi="Arial" w:cs="Times New Roman"/>
          <w:sz w:val="24"/>
          <w:szCs w:val="20"/>
        </w:rPr>
        <w:t>,547</w:t>
      </w:r>
      <w:proofErr w:type="gramEnd"/>
      <w:r w:rsidRPr="00CB021A">
        <w:rPr>
          <w:rFonts w:ascii="Arial" w:eastAsia="Times New Roman" w:hAnsi="Arial" w:cs="Times New Roman"/>
          <w:sz w:val="24"/>
          <w:szCs w:val="20"/>
        </w:rPr>
        <w:tab/>
        <w:t>1,472</w:t>
      </w:r>
      <w:r w:rsidRPr="00CB021A">
        <w:rPr>
          <w:rFonts w:ascii="Arial" w:eastAsia="Times New Roman" w:hAnsi="Arial" w:cs="Times New Roman"/>
          <w:sz w:val="24"/>
          <w:szCs w:val="20"/>
        </w:rPr>
        <w:tab/>
        <w:t>75</w:t>
      </w:r>
      <w:r w:rsidRPr="00CB021A">
        <w:rPr>
          <w:rFonts w:ascii="Arial" w:eastAsia="Times New Roman" w:hAnsi="Arial" w:cs="Times New Roman"/>
          <w:sz w:val="24"/>
          <w:szCs w:val="20"/>
        </w:rPr>
        <w:tab/>
        <w:t>5.1</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tax expense</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444</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468</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(24)</w:t>
      </w:r>
      <w:r w:rsidRPr="00CB021A">
        <w:rPr>
          <w:rFonts w:ascii="Arial" w:eastAsia="Times New Roman" w:hAnsi="Arial" w:cs="Times New Roman"/>
          <w:sz w:val="24"/>
          <w:szCs w:val="20"/>
        </w:rPr>
        <w:tab/>
        <w:t xml:space="preserve">      (5.1)</w:t>
      </w:r>
    </w:p>
    <w:p w:rsidR="00CB021A" w:rsidRPr="00CB021A" w:rsidRDefault="00CB021A" w:rsidP="00CB021A">
      <w:pPr>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Net income</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$1,103</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$1,004</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$99</w:t>
      </w:r>
      <w:r w:rsidRPr="00CB021A">
        <w:rPr>
          <w:rFonts w:ascii="Arial" w:eastAsia="Times New Roman" w:hAnsi="Arial" w:cs="Times New Roman"/>
          <w:sz w:val="24"/>
          <w:szCs w:val="20"/>
        </w:rPr>
        <w:tab/>
        <w:t>9.9</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13"/>
        </w:numPr>
        <w:tabs>
          <w:tab w:val="left" w:pos="72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Horizontal analysis of the income statements shows these changes:</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Net sales increased $869 million, or 8.0</w:t>
      </w:r>
      <w:proofErr w:type="gramStart"/>
      <w:r w:rsidRPr="00CB021A">
        <w:rPr>
          <w:rFonts w:ascii="Arial" w:eastAsia="Times New Roman" w:hAnsi="Arial" w:cs="Times New Roman"/>
          <w:sz w:val="24"/>
          <w:szCs w:val="20"/>
        </w:rPr>
        <w:t>%  (</w:t>
      </w:r>
      <w:proofErr w:type="gramEnd"/>
      <w:r w:rsidRPr="00CB021A">
        <w:rPr>
          <w:rFonts w:ascii="Arial" w:eastAsia="Times New Roman" w:hAnsi="Arial" w:cs="Times New Roman"/>
          <w:sz w:val="24"/>
          <w:szCs w:val="20"/>
        </w:rPr>
        <w:t>$869 ÷ $10,907).</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Cost of goods sold increased $515 million, or 8.5% ($515 ÷ $6,082).</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Selling and administrative expenses increased $252 million, or 8.2% ($252 ÷ $3,059).</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Overall, gross profit increased by 7.3% and net income increased by 9.9%.</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increase in net income can be attributed to the increase in net sales and a decrease in Income tax expense.</w:t>
      </w:r>
    </w:p>
    <w:p w:rsidR="00CB021A" w:rsidRPr="00CB021A" w:rsidRDefault="00CB021A" w:rsidP="00CB021A">
      <w:pPr>
        <w:numPr>
          <w:ilvl w:val="0"/>
          <w:numId w:val="15"/>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When using horizontal analysis, if an item has no value in a base year or preceding year and a value in the next year, no percentage change can be computed.  And if a negative amount appears in the base or preceding period and a positive amount exists in the following year, no percentage change can be computed.</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16"/>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Vertical analysis</w:t>
      </w:r>
      <w:r w:rsidRPr="00CB021A">
        <w:rPr>
          <w:rFonts w:ascii="Arial" w:eastAsia="Times New Roman" w:hAnsi="Arial" w:cs="Times New Roman"/>
          <w:sz w:val="24"/>
          <w:szCs w:val="20"/>
        </w:rPr>
        <w:t xml:space="preserve">, also called common-size analysis, is a technique for evaluating financial statement data that expresses each item in a financial statement as a </w:t>
      </w:r>
      <w:r w:rsidRPr="00CB021A">
        <w:rPr>
          <w:rFonts w:ascii="Arial" w:eastAsia="Times New Roman" w:hAnsi="Arial" w:cs="Times New Roman"/>
          <w:b/>
          <w:sz w:val="24"/>
          <w:szCs w:val="20"/>
        </w:rPr>
        <w:t>percent of a base amount</w:t>
      </w:r>
      <w:r w:rsidRPr="00CB021A">
        <w:rPr>
          <w:rFonts w:ascii="Arial" w:eastAsia="Times New Roman" w:hAnsi="Arial" w:cs="Times New Roman"/>
          <w:sz w:val="24"/>
          <w:szCs w:val="20"/>
        </w:rPr>
        <w:t>.</w:t>
      </w:r>
    </w:p>
    <w:p w:rsidR="00CB021A" w:rsidRPr="00CB021A" w:rsidRDefault="00CB021A" w:rsidP="00CB021A">
      <w:pPr>
        <w:numPr>
          <w:ilvl w:val="0"/>
          <w:numId w:val="53"/>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On a balance sheet we might say that current assets are 22% of total assets (total assets being the base amount.)</w:t>
      </w:r>
    </w:p>
    <w:p w:rsidR="00CB021A" w:rsidRPr="00CB021A" w:rsidRDefault="00CB021A" w:rsidP="00CB021A">
      <w:pPr>
        <w:numPr>
          <w:ilvl w:val="0"/>
          <w:numId w:val="53"/>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On an income statement we might say that selling expenses are 16% of net sales (net sales being the base amount.)</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keepNext/>
        <w:numPr>
          <w:ilvl w:val="0"/>
          <w:numId w:val="17"/>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lastRenderedPageBreak/>
        <w:t>Presented below is the comparative balance sheet of Kellogg for 2007 and 2006, analyzed vertically.</w:t>
      </w:r>
    </w:p>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KELLOGG COMPANY, INC.</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Condensed Balance Sheets</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December 31</w:t>
      </w:r>
    </w:p>
    <w:p w:rsidR="00CB021A" w:rsidRPr="00CB021A" w:rsidRDefault="00CB021A" w:rsidP="00CB021A">
      <w:pPr>
        <w:keepNext/>
        <w:tabs>
          <w:tab w:val="center" w:pos="4680"/>
        </w:tabs>
        <w:spacing w:after="0" w:line="240" w:lineRule="auto"/>
        <w:jc w:val="center"/>
        <w:rPr>
          <w:rFonts w:ascii="Arial" w:eastAsia="Times New Roman" w:hAnsi="Arial" w:cs="Times New Roman"/>
          <w:sz w:val="24"/>
          <w:szCs w:val="20"/>
        </w:rPr>
      </w:pPr>
      <w:r w:rsidRPr="00CB021A">
        <w:rPr>
          <w:rFonts w:ascii="Arial" w:eastAsia="Times New Roman" w:hAnsi="Arial" w:cs="Times New Roman"/>
          <w:b/>
          <w:sz w:val="24"/>
          <w:szCs w:val="20"/>
        </w:rPr>
        <w:t>(In millions)</w:t>
      </w:r>
    </w:p>
    <w:p w:rsidR="00CB021A" w:rsidRPr="00CB021A" w:rsidRDefault="00CB021A" w:rsidP="00CB021A">
      <w:pPr>
        <w:keepNext/>
        <w:spacing w:after="0" w:line="240" w:lineRule="auto"/>
        <w:rPr>
          <w:rFonts w:ascii="Arial" w:eastAsia="Times New Roman" w:hAnsi="Arial" w:cs="Times New Roman"/>
          <w:sz w:val="24"/>
          <w:szCs w:val="20"/>
        </w:rPr>
      </w:pPr>
    </w:p>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 xml:space="preserve">           2007             </w:t>
      </w:r>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u w:val="single"/>
        </w:rPr>
        <w:t xml:space="preserve">           2006                 </w:t>
      </w:r>
      <w:r w:rsidRPr="00CB021A">
        <w:rPr>
          <w:rFonts w:ascii="Arial" w:eastAsia="Times New Roman" w:hAnsi="Arial" w:cs="Times New Roman"/>
          <w:sz w:val="24"/>
          <w:szCs w:val="20"/>
        </w:rPr>
        <w:tab/>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Assets</w:t>
      </w:r>
      <w:r w:rsidRPr="00CB021A">
        <w:rPr>
          <w:rFonts w:ascii="Arial" w:eastAsia="Times New Roman" w:hAnsi="Arial" w:cs="Times New Roman"/>
          <w:sz w:val="24"/>
          <w:szCs w:val="20"/>
        </w:rPr>
        <w:tab/>
      </w:r>
      <w:r w:rsidRPr="00CB021A">
        <w:rPr>
          <w:rFonts w:ascii="Arial" w:eastAsia="Times New Roman" w:hAnsi="Arial" w:cs="Times New Roman"/>
          <w:b/>
          <w:sz w:val="24"/>
          <w:szCs w:val="20"/>
          <w:u w:val="single"/>
        </w:rPr>
        <w:t>Amount</w:t>
      </w:r>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Percent*</w:t>
      </w:r>
      <w:r w:rsidRPr="00CB021A">
        <w:rPr>
          <w:rFonts w:ascii="Arial" w:eastAsia="Times New Roman" w:hAnsi="Arial" w:cs="Times New Roman"/>
          <w:sz w:val="24"/>
          <w:szCs w:val="20"/>
        </w:rPr>
        <w:tab/>
      </w:r>
      <w:r w:rsidRPr="00CB021A">
        <w:rPr>
          <w:rFonts w:ascii="Arial" w:eastAsia="Times New Roman" w:hAnsi="Arial" w:cs="Times New Roman"/>
          <w:b/>
          <w:sz w:val="24"/>
          <w:szCs w:val="20"/>
          <w:u w:val="single"/>
        </w:rPr>
        <w:t>Amount</w:t>
      </w:r>
      <w:r w:rsidRPr="00CB021A">
        <w:rPr>
          <w:rFonts w:ascii="Arial" w:eastAsia="Times New Roman" w:hAnsi="Arial" w:cs="Times New Roman"/>
          <w:b/>
          <w:sz w:val="24"/>
          <w:szCs w:val="20"/>
        </w:rPr>
        <w:t xml:space="preserve"> </w:t>
      </w:r>
      <w:r w:rsidRPr="00CB021A">
        <w:rPr>
          <w:rFonts w:ascii="Arial" w:eastAsia="Times New Roman" w:hAnsi="Arial" w:cs="Times New Roman"/>
          <w:b/>
          <w:sz w:val="24"/>
          <w:szCs w:val="20"/>
        </w:rPr>
        <w:tab/>
      </w:r>
      <w:r w:rsidRPr="00CB021A">
        <w:rPr>
          <w:rFonts w:ascii="Arial" w:eastAsia="Times New Roman" w:hAnsi="Arial" w:cs="Times New Roman"/>
          <w:b/>
          <w:sz w:val="24"/>
          <w:szCs w:val="20"/>
          <w:u w:val="single"/>
        </w:rPr>
        <w:t>Percent*</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Current Assets</w:t>
      </w:r>
      <w:r w:rsidRPr="00CB021A">
        <w:rPr>
          <w:rFonts w:ascii="Arial" w:eastAsia="Times New Roman" w:hAnsi="Arial" w:cs="Times New Roman"/>
          <w:sz w:val="24"/>
          <w:szCs w:val="20"/>
        </w:rPr>
        <w:tab/>
        <w:t xml:space="preserve">$2,717 </w:t>
      </w:r>
      <w:r w:rsidRPr="00CB021A">
        <w:rPr>
          <w:rFonts w:ascii="Arial" w:eastAsia="Times New Roman" w:hAnsi="Arial" w:cs="Times New Roman"/>
          <w:sz w:val="24"/>
          <w:szCs w:val="20"/>
        </w:rPr>
        <w:tab/>
        <w:t xml:space="preserve">  23.8 </w:t>
      </w:r>
      <w:r w:rsidRPr="00CB021A">
        <w:rPr>
          <w:rFonts w:ascii="Arial" w:eastAsia="Times New Roman" w:hAnsi="Arial" w:cs="Times New Roman"/>
          <w:sz w:val="24"/>
          <w:szCs w:val="20"/>
        </w:rPr>
        <w:tab/>
        <w:t xml:space="preserve">$2,427 </w:t>
      </w:r>
      <w:r w:rsidRPr="00CB021A">
        <w:rPr>
          <w:rFonts w:ascii="Arial" w:eastAsia="Times New Roman" w:hAnsi="Arial" w:cs="Times New Roman"/>
          <w:sz w:val="24"/>
          <w:szCs w:val="20"/>
        </w:rPr>
        <w:tab/>
        <w:t xml:space="preserve"> 22.6</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Property assets (net)</w:t>
      </w:r>
      <w:r w:rsidRPr="00CB021A">
        <w:rPr>
          <w:rFonts w:ascii="Arial" w:eastAsia="Times New Roman" w:hAnsi="Arial" w:cs="Times New Roman"/>
          <w:sz w:val="24"/>
          <w:szCs w:val="20"/>
        </w:rPr>
        <w:tab/>
        <w:t xml:space="preserve">  2,990 </w:t>
      </w:r>
      <w:r w:rsidRPr="00CB021A">
        <w:rPr>
          <w:rFonts w:ascii="Arial" w:eastAsia="Times New Roman" w:hAnsi="Arial" w:cs="Times New Roman"/>
          <w:sz w:val="24"/>
          <w:szCs w:val="20"/>
        </w:rPr>
        <w:tab/>
        <w:t xml:space="preserve">  26.2</w:t>
      </w:r>
      <w:r w:rsidRPr="00CB021A">
        <w:rPr>
          <w:rFonts w:ascii="Arial" w:eastAsia="Times New Roman" w:hAnsi="Arial" w:cs="Times New Roman"/>
          <w:sz w:val="24"/>
          <w:szCs w:val="20"/>
        </w:rPr>
        <w:tab/>
        <w:t xml:space="preserve">  2,816 </w:t>
      </w:r>
      <w:r w:rsidRPr="00CB021A">
        <w:rPr>
          <w:rFonts w:ascii="Arial" w:eastAsia="Times New Roman" w:hAnsi="Arial" w:cs="Times New Roman"/>
          <w:sz w:val="24"/>
          <w:szCs w:val="20"/>
        </w:rPr>
        <w:tab/>
        <w:t xml:space="preserve"> 26.3</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Other assets</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5,690</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50.0</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5,471</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51.1</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Total assets</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$11,397</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100.0</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$10,714</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100.0</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Liabilities and Stockholders' Equity</w:t>
      </w:r>
      <w:r w:rsidRPr="00CB021A">
        <w:rPr>
          <w:rFonts w:ascii="Arial" w:eastAsia="Times New Roman" w:hAnsi="Arial" w:cs="Times New Roman"/>
          <w:sz w:val="24"/>
          <w:szCs w:val="20"/>
        </w:rPr>
        <w:tab/>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Current liabilities</w:t>
      </w:r>
      <w:r w:rsidRPr="00CB021A">
        <w:rPr>
          <w:rFonts w:ascii="Arial" w:eastAsia="Times New Roman" w:hAnsi="Arial" w:cs="Times New Roman"/>
          <w:sz w:val="24"/>
          <w:szCs w:val="20"/>
        </w:rPr>
        <w:tab/>
        <w:t xml:space="preserve">$4,044 </w:t>
      </w:r>
      <w:r w:rsidRPr="00CB021A">
        <w:rPr>
          <w:rFonts w:ascii="Arial" w:eastAsia="Times New Roman" w:hAnsi="Arial" w:cs="Times New Roman"/>
          <w:sz w:val="24"/>
          <w:szCs w:val="20"/>
        </w:rPr>
        <w:tab/>
        <w:t xml:space="preserve">  35.5</w:t>
      </w:r>
      <w:r w:rsidRPr="00CB021A">
        <w:rPr>
          <w:rFonts w:ascii="Arial" w:eastAsia="Times New Roman" w:hAnsi="Arial" w:cs="Times New Roman"/>
          <w:sz w:val="24"/>
          <w:szCs w:val="20"/>
        </w:rPr>
        <w:tab/>
        <w:t xml:space="preserve">$4,020 </w:t>
      </w:r>
      <w:r w:rsidRPr="00CB021A">
        <w:rPr>
          <w:rFonts w:ascii="Arial" w:eastAsia="Times New Roman" w:hAnsi="Arial" w:cs="Times New Roman"/>
          <w:sz w:val="24"/>
          <w:szCs w:val="20"/>
        </w:rPr>
        <w:tab/>
        <w:t xml:space="preserve"> 37.5</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u w:val="single"/>
        </w:rPr>
      </w:pPr>
      <w:r w:rsidRPr="00CB021A">
        <w:rPr>
          <w:rFonts w:ascii="Arial" w:eastAsia="Times New Roman" w:hAnsi="Arial" w:cs="Times New Roman"/>
          <w:sz w:val="24"/>
          <w:szCs w:val="20"/>
        </w:rPr>
        <w:t xml:space="preserve">Long-term liabilities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4,827</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42.4</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4,625</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43.2</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Total liabilities</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 xml:space="preserve">  8,871</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 xml:space="preserve">  77.9 </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 xml:space="preserve">  8,645</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80.7</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Stockholders' equity</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Common stock</w:t>
      </w:r>
      <w:r w:rsidRPr="00CB021A">
        <w:rPr>
          <w:rFonts w:ascii="Arial" w:eastAsia="Times New Roman" w:hAnsi="Arial" w:cs="Times New Roman"/>
          <w:sz w:val="24"/>
          <w:szCs w:val="20"/>
        </w:rPr>
        <w:tab/>
        <w:t xml:space="preserve"> 493</w:t>
      </w:r>
      <w:r w:rsidRPr="00CB021A">
        <w:rPr>
          <w:rFonts w:ascii="Arial" w:eastAsia="Times New Roman" w:hAnsi="Arial" w:cs="Times New Roman"/>
          <w:sz w:val="24"/>
          <w:szCs w:val="20"/>
        </w:rPr>
        <w:tab/>
        <w:t xml:space="preserve">    4.3</w:t>
      </w:r>
      <w:r w:rsidRPr="00CB021A">
        <w:rPr>
          <w:rFonts w:ascii="Arial" w:eastAsia="Times New Roman" w:hAnsi="Arial" w:cs="Times New Roman"/>
          <w:sz w:val="24"/>
          <w:szCs w:val="20"/>
        </w:rPr>
        <w:tab/>
        <w:t xml:space="preserve">     397</w:t>
      </w:r>
      <w:r w:rsidRPr="00CB021A">
        <w:rPr>
          <w:rFonts w:ascii="Arial" w:eastAsia="Times New Roman" w:hAnsi="Arial" w:cs="Times New Roman"/>
          <w:sz w:val="24"/>
          <w:szCs w:val="20"/>
        </w:rPr>
        <w:tab/>
        <w:t xml:space="preserve">     3.7</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Retained earnings </w:t>
      </w:r>
      <w:r w:rsidRPr="00CB021A">
        <w:rPr>
          <w:rFonts w:ascii="Arial" w:eastAsia="Times New Roman" w:hAnsi="Arial" w:cs="Times New Roman"/>
          <w:sz w:val="24"/>
          <w:szCs w:val="20"/>
        </w:rPr>
        <w:tab/>
        <w:t xml:space="preserve">  3,390 </w:t>
      </w:r>
      <w:r w:rsidRPr="00CB021A">
        <w:rPr>
          <w:rFonts w:ascii="Arial" w:eastAsia="Times New Roman" w:hAnsi="Arial" w:cs="Times New Roman"/>
          <w:sz w:val="24"/>
          <w:szCs w:val="20"/>
        </w:rPr>
        <w:tab/>
        <w:t xml:space="preserve">  29.7</w:t>
      </w:r>
      <w:r w:rsidRPr="00CB021A">
        <w:rPr>
          <w:rFonts w:ascii="Arial" w:eastAsia="Times New Roman" w:hAnsi="Arial" w:cs="Times New Roman"/>
          <w:sz w:val="24"/>
          <w:szCs w:val="20"/>
        </w:rPr>
        <w:tab/>
        <w:t xml:space="preserve">  2,584</w:t>
      </w:r>
      <w:r w:rsidRPr="00CB021A">
        <w:rPr>
          <w:rFonts w:ascii="Arial" w:eastAsia="Times New Roman" w:hAnsi="Arial" w:cs="Times New Roman"/>
          <w:sz w:val="24"/>
          <w:szCs w:val="20"/>
        </w:rPr>
        <w:tab/>
        <w:t xml:space="preserve">   24.1</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Treasury stock (cost)</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(1,357)</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(11.9)</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(912)</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(8.5)</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w:t>
      </w:r>
      <w:r w:rsidRPr="00CB021A">
        <w:rPr>
          <w:rFonts w:ascii="Arial" w:eastAsia="Times New Roman" w:hAnsi="Arial" w:cs="Times New Roman"/>
          <w:sz w:val="20"/>
          <w:szCs w:val="20"/>
        </w:rPr>
        <w:t>Total stockholders' equity</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2,526</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22.1</w:t>
      </w:r>
      <w:r w:rsidRPr="00CB021A">
        <w:rPr>
          <w:rFonts w:ascii="Arial" w:eastAsia="Times New Roman" w:hAnsi="Arial" w:cs="Times New Roman"/>
          <w:sz w:val="24"/>
          <w:szCs w:val="20"/>
        </w:rPr>
        <w:t xml:space="preserve"> </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2,069</w:t>
      </w:r>
      <w:r w:rsidRPr="00CB021A">
        <w:rPr>
          <w:rFonts w:ascii="Arial" w:eastAsia="Times New Roman" w:hAnsi="Arial" w:cs="Times New Roman"/>
          <w:sz w:val="24"/>
          <w:szCs w:val="20"/>
        </w:rPr>
        <w:tab/>
      </w:r>
      <w:r w:rsidRPr="00CB021A">
        <w:rPr>
          <w:rFonts w:ascii="Arial" w:eastAsia="Times New Roman" w:hAnsi="Arial" w:cs="Times New Roman"/>
          <w:sz w:val="24"/>
          <w:szCs w:val="20"/>
          <w:u w:val="single"/>
        </w:rPr>
        <w:t xml:space="preserve">  19.3</w:t>
      </w:r>
    </w:p>
    <w:p w:rsidR="00CB021A" w:rsidRPr="00CB021A" w:rsidRDefault="00CB021A" w:rsidP="00CB021A">
      <w:pPr>
        <w:keepNext/>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Total liabilities and</w:t>
      </w:r>
    </w:p>
    <w:p w:rsidR="00CB021A" w:rsidRPr="00CB021A" w:rsidRDefault="00CB021A" w:rsidP="00CB021A">
      <w:pPr>
        <w:tabs>
          <w:tab w:val="right" w:pos="4320"/>
          <w:tab w:val="right" w:pos="5760"/>
          <w:tab w:val="right" w:pos="7200"/>
          <w:tab w:val="right" w:pos="86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  </w:t>
      </w:r>
      <w:proofErr w:type="gramStart"/>
      <w:r w:rsidRPr="00CB021A">
        <w:rPr>
          <w:rFonts w:ascii="Arial" w:eastAsia="Times New Roman" w:hAnsi="Arial" w:cs="Times New Roman"/>
          <w:sz w:val="24"/>
          <w:szCs w:val="20"/>
        </w:rPr>
        <w:t>stockholders</w:t>
      </w:r>
      <w:proofErr w:type="gramEnd"/>
      <w:r w:rsidRPr="00CB021A">
        <w:rPr>
          <w:rFonts w:ascii="Arial" w:eastAsia="Times New Roman" w:hAnsi="Arial" w:cs="Times New Roman"/>
          <w:sz w:val="24"/>
          <w:szCs w:val="20"/>
        </w:rPr>
        <w:t xml:space="preserve">' equity   </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$11,397</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100.0</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$10,714</w:t>
      </w:r>
      <w:r w:rsidRPr="00CB021A">
        <w:rPr>
          <w:rFonts w:ascii="Arial" w:eastAsia="Times New Roman" w:hAnsi="Arial" w:cs="Times New Roman"/>
          <w:sz w:val="24"/>
          <w:szCs w:val="20"/>
        </w:rPr>
        <w:tab/>
      </w:r>
      <w:r w:rsidRPr="00CB021A">
        <w:rPr>
          <w:rFonts w:ascii="Arial" w:eastAsia="Times New Roman" w:hAnsi="Arial" w:cs="Times New Roman"/>
          <w:sz w:val="24"/>
          <w:szCs w:val="20"/>
          <w:u w:val="double"/>
        </w:rPr>
        <w:t>100.0</w:t>
      </w:r>
    </w:p>
    <w:p w:rsidR="00CB021A" w:rsidRPr="00CB021A" w:rsidRDefault="00CB021A" w:rsidP="00CB021A">
      <w:pPr>
        <w:spacing w:after="0" w:line="240" w:lineRule="auto"/>
        <w:rPr>
          <w:rFonts w:ascii="Arial" w:eastAsia="Times New Roman" w:hAnsi="Arial" w:cs="Times New Roman"/>
          <w:sz w:val="20"/>
          <w:szCs w:val="20"/>
        </w:rPr>
      </w:pPr>
      <w:r w:rsidRPr="00CB021A">
        <w:rPr>
          <w:rFonts w:ascii="Arial" w:eastAsia="Times New Roman" w:hAnsi="Arial" w:cs="Times New Roman"/>
          <w:sz w:val="20"/>
          <w:szCs w:val="20"/>
        </w:rPr>
        <w:t>*Numbers have been rounded to total 100%.</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18"/>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br w:type="page"/>
      </w:r>
      <w:r w:rsidRPr="00CB021A">
        <w:rPr>
          <w:rFonts w:ascii="Arial" w:eastAsia="Times New Roman" w:hAnsi="Arial" w:cs="Times New Roman"/>
          <w:sz w:val="24"/>
          <w:szCs w:val="20"/>
        </w:rPr>
        <w:lastRenderedPageBreak/>
        <w:t>In addition to showing the relative size of each category on the balance sheet, vertical analysis may show the percentage change in the individual asset, liability, and stockholders' equity items.</w:t>
      </w:r>
    </w:p>
    <w:p w:rsidR="00CB021A" w:rsidRPr="00CB021A" w:rsidRDefault="00CB021A" w:rsidP="00CB021A">
      <w:pPr>
        <w:numPr>
          <w:ilvl w:val="0"/>
          <w:numId w:val="1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Kellogg's current assets increased $290 million from 2006 to 2007 and they increased from 22.6% to 23.8% of total assets.</w:t>
      </w:r>
    </w:p>
    <w:p w:rsidR="00CB021A" w:rsidRPr="00CB021A" w:rsidRDefault="00CB021A" w:rsidP="00CB021A">
      <w:pPr>
        <w:numPr>
          <w:ilvl w:val="0"/>
          <w:numId w:val="1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Property assets (net) decreased from 26.3% to 26.2% of total assets.</w:t>
      </w:r>
    </w:p>
    <w:p w:rsidR="00CB021A" w:rsidRPr="00CB021A" w:rsidRDefault="00CB021A" w:rsidP="00CB021A">
      <w:pPr>
        <w:numPr>
          <w:ilvl w:val="0"/>
          <w:numId w:val="1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 xml:space="preserve">Other assets decreased from 51.1% to 50.0% of total assets. </w:t>
      </w:r>
    </w:p>
    <w:p w:rsidR="00CB021A" w:rsidRPr="00CB021A" w:rsidRDefault="00CB021A" w:rsidP="00CB021A">
      <w:pPr>
        <w:numPr>
          <w:ilvl w:val="0"/>
          <w:numId w:val="1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Retained earnings increased by $806 million from 2006 to 2007, and total stockholders’ equity increased from 19.3% to 22.1% of total liabilities and stockholders’ equity.  This switch to a higher percentage of equity financing has two causes: First, while total liabilities increased by $226 million, the percentage of liabilities declines from 80.7% to 77.9% of total liabilities and stockholders’ equity.  Second, retained earnings increased by $806 million.  Thus, the company shifted toward a heavier reliance on equity financing both by using less debt and by increasing the amount of retained earnings.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0"/>
        </w:num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Vertical analysis of the comparative income statements of Kellogg, shown below reveals that:</w:t>
      </w:r>
    </w:p>
    <w:p w:rsidR="00CB021A" w:rsidRPr="00CB021A" w:rsidRDefault="00CB021A" w:rsidP="00CB021A">
      <w:pPr>
        <w:numPr>
          <w:ilvl w:val="0"/>
          <w:numId w:val="51"/>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 xml:space="preserve">Cost of goods sold as a </w:t>
      </w:r>
      <w:r w:rsidRPr="00CB021A">
        <w:rPr>
          <w:rFonts w:ascii="Arial" w:eastAsia="Times New Roman" w:hAnsi="Arial" w:cs="Times New Roman"/>
          <w:b/>
          <w:sz w:val="24"/>
          <w:szCs w:val="20"/>
        </w:rPr>
        <w:t>percentage of net sales</w:t>
      </w:r>
      <w:r w:rsidRPr="00CB021A">
        <w:rPr>
          <w:rFonts w:ascii="Arial" w:eastAsia="Times New Roman" w:hAnsi="Arial" w:cs="Times New Roman"/>
          <w:sz w:val="24"/>
          <w:szCs w:val="20"/>
        </w:rPr>
        <w:t xml:space="preserve"> increased from 55.8% to 56.0%.</w:t>
      </w:r>
    </w:p>
    <w:p w:rsidR="00CB021A" w:rsidRPr="00CB021A" w:rsidRDefault="00CB021A" w:rsidP="00CB021A">
      <w:pPr>
        <w:numPr>
          <w:ilvl w:val="0"/>
          <w:numId w:val="51"/>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Selling and administrative expenses increased from 28.0% to 28.1%.</w:t>
      </w:r>
    </w:p>
    <w:p w:rsidR="00CB021A" w:rsidRPr="00CB021A" w:rsidRDefault="00CB021A" w:rsidP="00CB021A">
      <w:pPr>
        <w:numPr>
          <w:ilvl w:val="0"/>
          <w:numId w:val="2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Net income as a percent of net sales increased from 9.1% to 9.4%.</w:t>
      </w:r>
    </w:p>
    <w:p w:rsidR="00CB021A" w:rsidRPr="00CB021A" w:rsidRDefault="00CB021A" w:rsidP="00CB021A">
      <w:pPr>
        <w:numPr>
          <w:ilvl w:val="0"/>
          <w:numId w:val="21"/>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 xml:space="preserve">The decline in net income as a percentage of sales is due primarily to the decrease in interest expense and income tax expense as a percent of sales. </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KELLOGG COMPANY, INC.</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Condensed Income Statement</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For the Years Ended December 31</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(In millions)</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p>
    <w:tbl>
      <w:tblPr>
        <w:tblW w:w="0" w:type="auto"/>
        <w:tblLook w:val="04A0" w:firstRow="1" w:lastRow="0" w:firstColumn="1" w:lastColumn="0" w:noHBand="0" w:noVBand="1"/>
      </w:tblPr>
      <w:tblGrid>
        <w:gridCol w:w="3438"/>
        <w:gridCol w:w="1440"/>
        <w:gridCol w:w="1530"/>
        <w:gridCol w:w="1620"/>
        <w:gridCol w:w="1548"/>
      </w:tblGrid>
      <w:tr w:rsidR="00CB021A" w:rsidRPr="00CB021A" w:rsidTr="0073174F">
        <w:tc>
          <w:tcPr>
            <w:tcW w:w="3438"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p>
        </w:tc>
        <w:tc>
          <w:tcPr>
            <w:tcW w:w="1440"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2007</w:t>
            </w:r>
          </w:p>
        </w:tc>
        <w:tc>
          <w:tcPr>
            <w:tcW w:w="1530"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p>
        </w:tc>
        <w:tc>
          <w:tcPr>
            <w:tcW w:w="1620"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2006</w:t>
            </w:r>
          </w:p>
        </w:tc>
        <w:tc>
          <w:tcPr>
            <w:tcW w:w="1548"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p>
        </w:tc>
      </w:tr>
      <w:tr w:rsidR="00CB021A" w:rsidRPr="00CB021A" w:rsidTr="0073174F">
        <w:tc>
          <w:tcPr>
            <w:tcW w:w="3438"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p>
        </w:tc>
        <w:tc>
          <w:tcPr>
            <w:tcW w:w="1440"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Amount</w:t>
            </w:r>
          </w:p>
        </w:tc>
        <w:tc>
          <w:tcPr>
            <w:tcW w:w="1530"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Percent*</w:t>
            </w:r>
          </w:p>
        </w:tc>
        <w:tc>
          <w:tcPr>
            <w:tcW w:w="1620"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Amount</w:t>
            </w:r>
          </w:p>
        </w:tc>
        <w:tc>
          <w:tcPr>
            <w:tcW w:w="1548" w:type="dxa"/>
          </w:tcPr>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Percent*</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Net sales</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$11,776</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100.0</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$10,907</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100.0</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Cost of goods sold</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6,597</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56.0</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6,082</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55.8</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Goss profit</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5,179</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44.0</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4,825</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44.2</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Selling and admin. expenses</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3,311</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28.1</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3,059</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28.0</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from operations</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1,868</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15.9</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1,766</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16.2</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Interest expense</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319</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2.7</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307</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2.8</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Other income (expense), net</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(2)</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0</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13</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0</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before income taxes</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1,547</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13.2</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1,472</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13.4</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tax expense</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444</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3.8</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468</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4.3</w:t>
            </w:r>
          </w:p>
        </w:tc>
      </w:tr>
      <w:tr w:rsidR="00CB021A" w:rsidRPr="00CB021A" w:rsidTr="0073174F">
        <w:tc>
          <w:tcPr>
            <w:tcW w:w="3438" w:type="dxa"/>
          </w:tcPr>
          <w:p w:rsidR="00CB021A" w:rsidRPr="00CB021A" w:rsidRDefault="00CB021A" w:rsidP="00CB021A">
            <w:pPr>
              <w:keepNext/>
              <w:tabs>
                <w:tab w:val="center" w:pos="468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Net income</w:t>
            </w:r>
          </w:p>
        </w:tc>
        <w:tc>
          <w:tcPr>
            <w:tcW w:w="144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$1,103</w:t>
            </w:r>
          </w:p>
        </w:tc>
        <w:tc>
          <w:tcPr>
            <w:tcW w:w="153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9.4</w:t>
            </w:r>
          </w:p>
        </w:tc>
        <w:tc>
          <w:tcPr>
            <w:tcW w:w="1620"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$1,004</w:t>
            </w:r>
          </w:p>
        </w:tc>
        <w:tc>
          <w:tcPr>
            <w:tcW w:w="1548" w:type="dxa"/>
          </w:tcPr>
          <w:p w:rsidR="00CB021A" w:rsidRPr="00CB021A" w:rsidRDefault="00CB021A" w:rsidP="00CB021A">
            <w:pPr>
              <w:keepNext/>
              <w:tabs>
                <w:tab w:val="center" w:pos="4680"/>
              </w:tabs>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9.1</w:t>
            </w:r>
          </w:p>
        </w:tc>
      </w:tr>
    </w:tbl>
    <w:p w:rsidR="00CB021A" w:rsidRPr="00CB021A" w:rsidRDefault="00CB021A" w:rsidP="00CB021A">
      <w:pPr>
        <w:keepNext/>
        <w:tabs>
          <w:tab w:val="center" w:pos="4680"/>
        </w:tabs>
        <w:spacing w:after="0" w:line="240" w:lineRule="auto"/>
        <w:rPr>
          <w:rFonts w:ascii="Arial" w:eastAsia="Times New Roman" w:hAnsi="Arial" w:cs="Times New Roman"/>
          <w:b/>
          <w:sz w:val="24"/>
          <w:szCs w:val="20"/>
        </w:rPr>
      </w:pPr>
      <w:r w:rsidRPr="00CB021A">
        <w:rPr>
          <w:rFonts w:ascii="Arial" w:eastAsia="Times New Roman" w:hAnsi="Arial" w:cs="Times New Roman"/>
          <w:sz w:val="24"/>
          <w:szCs w:val="20"/>
        </w:rPr>
        <w:t>*</w:t>
      </w:r>
      <w:r w:rsidRPr="00CB021A">
        <w:rPr>
          <w:rFonts w:ascii="Arial" w:eastAsia="Times New Roman" w:hAnsi="Arial" w:cs="Times New Roman"/>
          <w:sz w:val="20"/>
          <w:szCs w:val="20"/>
        </w:rPr>
        <w:t>Numbers have been rounded to total 100%.</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p>
    <w:p w:rsidR="00CB021A" w:rsidRPr="00CB021A" w:rsidRDefault="00CB021A" w:rsidP="00CB021A">
      <w:pPr>
        <w:spacing w:after="0" w:line="240" w:lineRule="auto"/>
        <w:rPr>
          <w:rFonts w:ascii="Arial" w:eastAsia="Times New Roman" w:hAnsi="Arial" w:cs="Times New Roman"/>
          <w:sz w:val="20"/>
          <w:szCs w:val="20"/>
        </w:rPr>
      </w:pPr>
    </w:p>
    <w:p w:rsidR="00CB021A" w:rsidRPr="00CB021A" w:rsidRDefault="00CB021A" w:rsidP="00CB021A">
      <w:pPr>
        <w:numPr>
          <w:ilvl w:val="0"/>
          <w:numId w:val="22"/>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br w:type="page"/>
      </w:r>
      <w:r w:rsidRPr="00CB021A">
        <w:rPr>
          <w:rFonts w:ascii="Arial" w:eastAsia="Times New Roman" w:hAnsi="Arial" w:cs="Times New Roman"/>
          <w:sz w:val="24"/>
          <w:szCs w:val="20"/>
        </w:rPr>
        <w:lastRenderedPageBreak/>
        <w:t xml:space="preserve">Vertical analysis enables you to compare companies of different sizes.  </w:t>
      </w:r>
    </w:p>
    <w:p w:rsidR="00CB021A" w:rsidRPr="00CB021A" w:rsidRDefault="00CB021A" w:rsidP="00CB021A">
      <w:pPr>
        <w:keepNext/>
        <w:numPr>
          <w:ilvl w:val="0"/>
          <w:numId w:val="22"/>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Shown below is a comparison of the income statements of Kellogg and General Mills:</w:t>
      </w:r>
    </w:p>
    <w:p w:rsidR="00CB021A" w:rsidRPr="00CB021A" w:rsidRDefault="00CB021A" w:rsidP="00CB021A">
      <w:pPr>
        <w:keepNext/>
        <w:spacing w:after="0" w:line="240" w:lineRule="auto"/>
        <w:rPr>
          <w:rFonts w:ascii="Arial" w:eastAsia="Times New Roman" w:hAnsi="Arial" w:cs="Times New Roman"/>
          <w:b/>
          <w:sz w:val="24"/>
          <w:szCs w:val="20"/>
        </w:rPr>
      </w:pP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CONDENSED INCOME STATEMENTS</w:t>
      </w:r>
    </w:p>
    <w:p w:rsidR="00CB021A" w:rsidRPr="00CB021A" w:rsidRDefault="00CB021A" w:rsidP="00CB021A">
      <w:pPr>
        <w:keepNext/>
        <w:tabs>
          <w:tab w:val="center" w:pos="4680"/>
        </w:tabs>
        <w:spacing w:after="0" w:line="240" w:lineRule="auto"/>
        <w:jc w:val="center"/>
        <w:rPr>
          <w:rFonts w:ascii="Arial" w:eastAsia="Times New Roman" w:hAnsi="Arial" w:cs="Times New Roman"/>
          <w:b/>
          <w:sz w:val="24"/>
          <w:szCs w:val="20"/>
        </w:rPr>
      </w:pPr>
      <w:r w:rsidRPr="00CB021A">
        <w:rPr>
          <w:rFonts w:ascii="Arial" w:eastAsia="Times New Roman" w:hAnsi="Arial" w:cs="Times New Roman"/>
          <w:b/>
          <w:sz w:val="24"/>
          <w:szCs w:val="20"/>
        </w:rPr>
        <w:t>For the Year Ended December 31, 2007</w:t>
      </w:r>
    </w:p>
    <w:p w:rsidR="00CB021A" w:rsidRPr="00CB021A" w:rsidRDefault="00CB021A" w:rsidP="00CB021A">
      <w:pPr>
        <w:keepNext/>
        <w:tabs>
          <w:tab w:val="center" w:pos="4680"/>
        </w:tabs>
        <w:spacing w:after="0" w:line="240" w:lineRule="auto"/>
        <w:jc w:val="center"/>
        <w:rPr>
          <w:rFonts w:ascii="Arial" w:eastAsia="Times New Roman" w:hAnsi="Arial" w:cs="Times New Roman"/>
          <w:sz w:val="24"/>
          <w:szCs w:val="20"/>
        </w:rPr>
      </w:pPr>
      <w:r w:rsidRPr="00CB021A">
        <w:rPr>
          <w:rFonts w:ascii="Arial" w:eastAsia="Times New Roman" w:hAnsi="Arial" w:cs="Times New Roman"/>
          <w:b/>
          <w:sz w:val="24"/>
          <w:szCs w:val="20"/>
        </w:rPr>
        <w:t>(In millions)</w:t>
      </w:r>
    </w:p>
    <w:p w:rsidR="00CB021A" w:rsidRPr="00CB021A" w:rsidRDefault="00CB021A" w:rsidP="00CB021A">
      <w:pPr>
        <w:keepNext/>
        <w:spacing w:after="0" w:line="240" w:lineRule="auto"/>
        <w:rPr>
          <w:rFonts w:ascii="Arial" w:eastAsia="Times New Roman" w:hAnsi="Arial" w:cs="Times New Roman"/>
          <w:sz w:val="24"/>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0"/>
        <w:gridCol w:w="1620"/>
        <w:gridCol w:w="1620"/>
        <w:gridCol w:w="1530"/>
        <w:gridCol w:w="1368"/>
      </w:tblGrid>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p>
        </w:tc>
        <w:tc>
          <w:tcPr>
            <w:tcW w:w="3240" w:type="dxa"/>
            <w:gridSpan w:val="2"/>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 xml:space="preserve">  Kellogg Company, Inc.</w:t>
            </w:r>
          </w:p>
        </w:tc>
        <w:tc>
          <w:tcPr>
            <w:tcW w:w="2898" w:type="dxa"/>
            <w:gridSpan w:val="2"/>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u w:val="single"/>
              </w:rPr>
              <w:t xml:space="preserve">   General Mills, Inc.  </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p>
        </w:tc>
        <w:tc>
          <w:tcPr>
            <w:tcW w:w="1620" w:type="dxa"/>
          </w:tcPr>
          <w:p w:rsidR="00CB021A" w:rsidRPr="00CB021A" w:rsidRDefault="00CB021A" w:rsidP="00CB021A">
            <w:pPr>
              <w:keepNext/>
              <w:spacing w:after="0" w:line="240" w:lineRule="auto"/>
              <w:rPr>
                <w:rFonts w:ascii="Arial" w:eastAsia="Times New Roman" w:hAnsi="Arial" w:cs="Times New Roman"/>
                <w:sz w:val="24"/>
                <w:szCs w:val="20"/>
                <w:u w:val="single"/>
              </w:rPr>
            </w:pPr>
            <w:r w:rsidRPr="00CB021A">
              <w:rPr>
                <w:rFonts w:ascii="Arial" w:eastAsia="Times New Roman" w:hAnsi="Arial" w:cs="Times New Roman"/>
                <w:sz w:val="24"/>
                <w:szCs w:val="20"/>
                <w:u w:val="single"/>
              </w:rPr>
              <w:t>Amount</w:t>
            </w:r>
          </w:p>
        </w:tc>
        <w:tc>
          <w:tcPr>
            <w:tcW w:w="1620" w:type="dxa"/>
          </w:tcPr>
          <w:p w:rsidR="00CB021A" w:rsidRPr="00CB021A" w:rsidRDefault="00CB021A" w:rsidP="00CB021A">
            <w:pPr>
              <w:keepNext/>
              <w:spacing w:after="0" w:line="240" w:lineRule="auto"/>
              <w:rPr>
                <w:rFonts w:ascii="Arial" w:eastAsia="Times New Roman" w:hAnsi="Arial" w:cs="Times New Roman"/>
                <w:sz w:val="24"/>
                <w:szCs w:val="20"/>
                <w:u w:val="single"/>
              </w:rPr>
            </w:pPr>
            <w:r w:rsidRPr="00CB021A">
              <w:rPr>
                <w:rFonts w:ascii="Arial" w:eastAsia="Times New Roman" w:hAnsi="Arial" w:cs="Times New Roman"/>
                <w:sz w:val="24"/>
                <w:szCs w:val="20"/>
                <w:u w:val="single"/>
              </w:rPr>
              <w:t>Percent*</w:t>
            </w:r>
          </w:p>
        </w:tc>
        <w:tc>
          <w:tcPr>
            <w:tcW w:w="1530" w:type="dxa"/>
          </w:tcPr>
          <w:p w:rsidR="00CB021A" w:rsidRPr="00CB021A" w:rsidRDefault="00CB021A" w:rsidP="00CB021A">
            <w:pPr>
              <w:keepNext/>
              <w:spacing w:after="0" w:line="240" w:lineRule="auto"/>
              <w:rPr>
                <w:rFonts w:ascii="Arial" w:eastAsia="Times New Roman" w:hAnsi="Arial" w:cs="Times New Roman"/>
                <w:sz w:val="24"/>
                <w:szCs w:val="20"/>
                <w:u w:val="single"/>
              </w:rPr>
            </w:pPr>
            <w:r w:rsidRPr="00CB021A">
              <w:rPr>
                <w:rFonts w:ascii="Arial" w:eastAsia="Times New Roman" w:hAnsi="Arial" w:cs="Times New Roman"/>
                <w:sz w:val="24"/>
                <w:szCs w:val="20"/>
                <w:u w:val="single"/>
              </w:rPr>
              <w:t>Amount</w:t>
            </w:r>
          </w:p>
        </w:tc>
        <w:tc>
          <w:tcPr>
            <w:tcW w:w="1368" w:type="dxa"/>
          </w:tcPr>
          <w:p w:rsidR="00CB021A" w:rsidRPr="00CB021A" w:rsidRDefault="00CB021A" w:rsidP="00CB021A">
            <w:pPr>
              <w:keepNext/>
              <w:spacing w:after="0" w:line="240" w:lineRule="auto"/>
              <w:rPr>
                <w:rFonts w:ascii="Arial" w:eastAsia="Times New Roman" w:hAnsi="Arial" w:cs="Times New Roman"/>
                <w:sz w:val="24"/>
                <w:szCs w:val="20"/>
                <w:u w:val="single"/>
              </w:rPr>
            </w:pPr>
            <w:r w:rsidRPr="00CB021A">
              <w:rPr>
                <w:rFonts w:ascii="Arial" w:eastAsia="Times New Roman" w:hAnsi="Arial" w:cs="Times New Roman"/>
                <w:sz w:val="24"/>
                <w:szCs w:val="20"/>
                <w:u w:val="single"/>
              </w:rPr>
              <w:t>Percent*</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Net sales</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$11,776</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100.0</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$12,442</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100.0</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Cost of goods sold</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6,597</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56.0</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7,955</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63.9</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Gross profit</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5,179</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44.0</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4,487</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36.1</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Selling and admin. expenses</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3,311</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28.1</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2,390</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19.2</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Nonrecurring charges</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0</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39</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0.3</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Income from operations</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1,868</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15.9</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2,058</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rPr>
            </w:pPr>
            <w:r w:rsidRPr="00CB021A">
              <w:rPr>
                <w:rFonts w:ascii="Arial" w:eastAsia="Times New Roman" w:hAnsi="Arial" w:cs="Times New Roman"/>
                <w:sz w:val="24"/>
                <w:szCs w:val="20"/>
              </w:rPr>
              <w:t>16.6</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Other expense and revenues (including income taxes)</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765</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6.5</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914</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u w:val="single"/>
              </w:rPr>
            </w:pPr>
            <w:r w:rsidRPr="00CB021A">
              <w:rPr>
                <w:rFonts w:ascii="Arial" w:eastAsia="Times New Roman" w:hAnsi="Arial" w:cs="Times New Roman"/>
                <w:sz w:val="24"/>
                <w:szCs w:val="20"/>
                <w:u w:val="single"/>
              </w:rPr>
              <w:t>7.4</w:t>
            </w:r>
          </w:p>
        </w:tc>
      </w:tr>
      <w:tr w:rsidR="00CB021A" w:rsidRPr="00CB021A" w:rsidTr="0073174F">
        <w:tc>
          <w:tcPr>
            <w:tcW w:w="3330" w:type="dxa"/>
          </w:tcPr>
          <w:p w:rsidR="00CB021A" w:rsidRPr="00CB021A" w:rsidRDefault="00CB021A" w:rsidP="00CB021A">
            <w:pPr>
              <w:keepNext/>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Net income</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$1,103</w:t>
            </w:r>
          </w:p>
        </w:tc>
        <w:tc>
          <w:tcPr>
            <w:tcW w:w="1620" w:type="dxa"/>
          </w:tcPr>
          <w:p w:rsidR="00CB021A" w:rsidRPr="00CB021A" w:rsidRDefault="00CB021A" w:rsidP="00CB021A">
            <w:pPr>
              <w:keepNext/>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9.4</w:t>
            </w:r>
          </w:p>
        </w:tc>
        <w:tc>
          <w:tcPr>
            <w:tcW w:w="1530" w:type="dxa"/>
          </w:tcPr>
          <w:p w:rsidR="00CB021A" w:rsidRPr="00CB021A" w:rsidRDefault="00CB021A" w:rsidP="00CB021A">
            <w:pPr>
              <w:keepNext/>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$1,144</w:t>
            </w:r>
          </w:p>
        </w:tc>
        <w:tc>
          <w:tcPr>
            <w:tcW w:w="1368" w:type="dxa"/>
          </w:tcPr>
          <w:p w:rsidR="00CB021A" w:rsidRPr="00CB021A" w:rsidRDefault="00CB021A" w:rsidP="00CB021A">
            <w:pPr>
              <w:keepNext/>
              <w:spacing w:after="0" w:line="240" w:lineRule="auto"/>
              <w:jc w:val="right"/>
              <w:rPr>
                <w:rFonts w:ascii="Arial" w:eastAsia="Times New Roman" w:hAnsi="Arial" w:cs="Times New Roman"/>
                <w:sz w:val="24"/>
                <w:szCs w:val="20"/>
                <w:u w:val="double"/>
              </w:rPr>
            </w:pPr>
            <w:r w:rsidRPr="00CB021A">
              <w:rPr>
                <w:rFonts w:ascii="Arial" w:eastAsia="Times New Roman" w:hAnsi="Arial" w:cs="Times New Roman"/>
                <w:sz w:val="24"/>
                <w:szCs w:val="20"/>
                <w:u w:val="double"/>
              </w:rPr>
              <w:t>9.2</w:t>
            </w:r>
          </w:p>
        </w:tc>
      </w:tr>
    </w:tbl>
    <w:p w:rsidR="00CB021A" w:rsidRPr="00CB021A" w:rsidRDefault="00CB021A" w:rsidP="00CB021A">
      <w:pPr>
        <w:spacing w:after="0" w:line="240" w:lineRule="auto"/>
        <w:rPr>
          <w:rFonts w:ascii="Arial" w:eastAsia="Times New Roman" w:hAnsi="Arial" w:cs="Times New Roman"/>
          <w:sz w:val="20"/>
          <w:szCs w:val="20"/>
        </w:rPr>
      </w:pPr>
      <w:r w:rsidRPr="00CB021A">
        <w:rPr>
          <w:rFonts w:ascii="Arial" w:eastAsia="Times New Roman" w:hAnsi="Arial" w:cs="Times New Roman"/>
          <w:sz w:val="20"/>
          <w:szCs w:val="20"/>
        </w:rPr>
        <w:t>*Numbers have been rounded to total 100%</w:t>
      </w:r>
    </w:p>
    <w:p w:rsidR="00CB021A" w:rsidRPr="00CB021A" w:rsidRDefault="00CB021A" w:rsidP="00CB021A">
      <w:pPr>
        <w:keepNext/>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0"/>
          <w:szCs w:val="20"/>
        </w:rPr>
      </w:pPr>
    </w:p>
    <w:p w:rsidR="00CB021A" w:rsidRPr="00CB021A" w:rsidRDefault="00CB021A" w:rsidP="00CB021A">
      <w:pPr>
        <w:numPr>
          <w:ilvl w:val="0"/>
          <w:numId w:val="23"/>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Although Kellogg's net sales are less than the net sales of General Mills, vertical analysis eliminates the impact of the size difference for the analysis.</w:t>
      </w:r>
    </w:p>
    <w:p w:rsidR="00CB021A" w:rsidRPr="00CB021A" w:rsidRDefault="00CB021A" w:rsidP="00CB021A">
      <w:pPr>
        <w:numPr>
          <w:ilvl w:val="0"/>
          <w:numId w:val="23"/>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Kellogg's has a higher gross profit, 44.0%, compared to 36.1% for General Mills, but Kellogg’s selling and administrative expenses are 28.1% of net sales, while those of General Mills are 19.2% of net sales.</w:t>
      </w:r>
    </w:p>
    <w:p w:rsidR="00CB021A" w:rsidRPr="00CB021A" w:rsidRDefault="00CB021A" w:rsidP="00CB021A">
      <w:pPr>
        <w:numPr>
          <w:ilvl w:val="0"/>
          <w:numId w:val="23"/>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Kellogg's and General Mills report similar percentages for income from operations as a percentage of net sales, 9.4% compared to 9.2%, respectively.</w:t>
      </w:r>
    </w:p>
    <w:p w:rsidR="00CB021A" w:rsidRPr="00CB021A" w:rsidRDefault="00CB021A" w:rsidP="00CB021A">
      <w:pPr>
        <w:spacing w:after="0" w:line="240" w:lineRule="auto"/>
        <w:rPr>
          <w:rFonts w:ascii="Arial" w:eastAsia="Times New Roman" w:hAnsi="Arial" w:cs="Times New Roman"/>
          <w:b/>
          <w:snapToGrid w:val="0"/>
          <w:sz w:val="24"/>
          <w:szCs w:val="20"/>
        </w:rPr>
      </w:pPr>
    </w:p>
    <w:p w:rsidR="00CB021A" w:rsidRPr="00CB021A" w:rsidRDefault="00CB021A" w:rsidP="00CB021A">
      <w:pPr>
        <w:spacing w:after="0" w:line="240" w:lineRule="auto"/>
        <w:rPr>
          <w:rFonts w:ascii="Arial" w:eastAsia="Times New Roman" w:hAnsi="Arial" w:cs="Times New Roman"/>
          <w:b/>
          <w:snapToGrid w:val="0"/>
          <w:sz w:val="24"/>
          <w:szCs w:val="20"/>
        </w:rPr>
      </w:pPr>
    </w:p>
    <w:p w:rsidR="00CB021A" w:rsidRPr="00CB021A" w:rsidRDefault="00CB021A" w:rsidP="00CB021A">
      <w:pPr>
        <w:spacing w:after="0" w:line="240" w:lineRule="auto"/>
        <w:rPr>
          <w:rFonts w:ascii="Arial" w:eastAsia="Times New Roman" w:hAnsi="Arial" w:cs="Times New Roman"/>
          <w:sz w:val="24"/>
          <w:szCs w:val="20"/>
        </w:rPr>
      </w:pPr>
      <w:r w:rsidRPr="00CB021A">
        <w:rPr>
          <w:rFonts w:ascii="Arial" w:eastAsia="Times New Roman" w:hAnsi="Arial" w:cs="Times New Roman"/>
          <w:b/>
          <w:snapToGrid w:val="0"/>
          <w:sz w:val="24"/>
          <w:szCs w:val="20"/>
        </w:rPr>
        <w:br w:type="page"/>
      </w:r>
    </w:p>
    <w:p w:rsidR="00CB021A" w:rsidRPr="00CB021A" w:rsidRDefault="00CB021A" w:rsidP="00CB021A">
      <w:pPr>
        <w:numPr>
          <w:ilvl w:val="0"/>
          <w:numId w:val="24"/>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lastRenderedPageBreak/>
        <w:t>For analysis of the primary financial statements, ratios can be classified into three types:</w:t>
      </w:r>
    </w:p>
    <w:p w:rsidR="00CB021A" w:rsidRPr="00CB021A" w:rsidRDefault="00CB021A" w:rsidP="00CB021A">
      <w:pPr>
        <w:numPr>
          <w:ilvl w:val="0"/>
          <w:numId w:val="25"/>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Liquidity ratios</w:t>
      </w:r>
      <w:r w:rsidRPr="00CB021A">
        <w:rPr>
          <w:rFonts w:ascii="Arial" w:eastAsia="Times New Roman" w:hAnsi="Arial" w:cs="Times New Roman"/>
          <w:sz w:val="24"/>
          <w:szCs w:val="20"/>
        </w:rPr>
        <w:t xml:space="preserve"> measure the short-term ability of the company to pay its maturing obligations and to meet unexpected needs for cash.</w:t>
      </w:r>
    </w:p>
    <w:p w:rsidR="00CB021A" w:rsidRPr="00CB021A" w:rsidRDefault="00CB021A" w:rsidP="00CB021A">
      <w:pPr>
        <w:numPr>
          <w:ilvl w:val="0"/>
          <w:numId w:val="25"/>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Solvency ratios</w:t>
      </w:r>
      <w:r w:rsidRPr="00CB021A">
        <w:rPr>
          <w:rFonts w:ascii="Arial" w:eastAsia="Times New Roman" w:hAnsi="Arial" w:cs="Times New Roman"/>
          <w:sz w:val="24"/>
          <w:szCs w:val="20"/>
        </w:rPr>
        <w:t xml:space="preserve"> measure the ability of the company to survive over a long period of time.</w:t>
      </w:r>
    </w:p>
    <w:p w:rsidR="00CB021A" w:rsidRPr="00CB021A" w:rsidRDefault="00CB021A" w:rsidP="00CB021A">
      <w:pPr>
        <w:numPr>
          <w:ilvl w:val="0"/>
          <w:numId w:val="25"/>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 xml:space="preserve">Profitability ratios </w:t>
      </w:r>
      <w:r w:rsidRPr="00CB021A">
        <w:rPr>
          <w:rFonts w:ascii="Arial" w:eastAsia="Times New Roman" w:hAnsi="Arial" w:cs="Times New Roman"/>
          <w:sz w:val="24"/>
          <w:szCs w:val="20"/>
        </w:rPr>
        <w:t>measure the income or operating success of a company for a given period of time.</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6"/>
        </w:numPr>
        <w:spacing w:after="0" w:line="240" w:lineRule="auto"/>
        <w:rPr>
          <w:rFonts w:ascii="Arial" w:eastAsia="Times New Roman" w:hAnsi="Arial" w:cs="Times New Roman"/>
          <w:sz w:val="24"/>
          <w:szCs w:val="20"/>
        </w:rPr>
      </w:pPr>
      <w:bookmarkStart w:id="0" w:name="_GoBack"/>
      <w:bookmarkEnd w:id="0"/>
      <w:r w:rsidRPr="00CB021A">
        <w:rPr>
          <w:rFonts w:ascii="Arial" w:eastAsia="Times New Roman" w:hAnsi="Arial" w:cs="Times New Roman"/>
          <w:sz w:val="24"/>
          <w:szCs w:val="20"/>
        </w:rPr>
        <w:t xml:space="preserve">A company that has a high </w:t>
      </w:r>
      <w:r w:rsidRPr="00CB021A">
        <w:rPr>
          <w:rFonts w:ascii="Arial" w:eastAsia="Times New Roman" w:hAnsi="Arial" w:cs="Times New Roman"/>
          <w:b/>
          <w:sz w:val="24"/>
          <w:szCs w:val="20"/>
        </w:rPr>
        <w:t>quality of earnings</w:t>
      </w:r>
      <w:r w:rsidRPr="00CB021A">
        <w:rPr>
          <w:rFonts w:ascii="Arial" w:eastAsia="Times New Roman" w:hAnsi="Arial" w:cs="Times New Roman"/>
          <w:sz w:val="24"/>
          <w:szCs w:val="20"/>
        </w:rPr>
        <w:t xml:space="preserve"> provides full and transparent information that will not confuse or mislead users of financial statements.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6"/>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The issue of quality of earnings has taken on increasing importance because recent accounting scandals suggest that some companies are spending too much time managing their income and not enough time managing their business.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8"/>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 xml:space="preserve">Some of the factors affecting quality of earnings include the following: </w:t>
      </w:r>
    </w:p>
    <w:p w:rsidR="00CB021A" w:rsidRPr="00CB021A" w:rsidRDefault="00CB021A" w:rsidP="00CB021A">
      <w:pPr>
        <w:numPr>
          <w:ilvl w:val="0"/>
          <w:numId w:val="13"/>
        </w:numPr>
        <w:tabs>
          <w:tab w:val="left" w:pos="72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Alternative accounting methods</w:t>
      </w:r>
      <w:r w:rsidRPr="00CB021A">
        <w:rPr>
          <w:rFonts w:ascii="Arial" w:eastAsia="Times New Roman" w:hAnsi="Arial" w:cs="Times New Roman"/>
          <w:sz w:val="24"/>
          <w:szCs w:val="20"/>
        </w:rPr>
        <w:t xml:space="preserve"> – Variations among companies in the application of generally accepted accounting principles may hamper comparability and reduce quality of earnings. </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For example, one company may use the FIFO method of inventory costing, while another company in the same industry may use LIFO.</w:t>
      </w:r>
    </w:p>
    <w:p w:rsidR="00CB021A" w:rsidRPr="00CB021A" w:rsidRDefault="00CB021A" w:rsidP="00CB021A">
      <w:pPr>
        <w:numPr>
          <w:ilvl w:val="0"/>
          <w:numId w:val="14"/>
        </w:numPr>
        <w:spacing w:after="0" w:line="240" w:lineRule="auto"/>
        <w:ind w:left="1440"/>
        <w:rPr>
          <w:rFonts w:ascii="Arial" w:eastAsia="Times New Roman" w:hAnsi="Arial" w:cs="Times New Roman"/>
          <w:sz w:val="24"/>
          <w:szCs w:val="20"/>
        </w:rPr>
      </w:pPr>
      <w:r w:rsidRPr="00CB021A">
        <w:rPr>
          <w:rFonts w:ascii="Arial" w:eastAsia="Times New Roman" w:hAnsi="Arial" w:cs="Times New Roman"/>
          <w:sz w:val="24"/>
          <w:szCs w:val="20"/>
        </w:rPr>
        <w:t>If inventory is a significant asset to both companies, it is unlikely that their current ratios are comparable.</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Differences also exist in reporting such items as depreciation, depletion, and amortization.  Although these differences in accounting methods might be detected from reading the notes to the financial statements, adjusting the financial data to compensate for the different methods is difficult, if not impossible, in some cases.</w:t>
      </w:r>
    </w:p>
    <w:p w:rsidR="00CB021A" w:rsidRPr="00CB021A" w:rsidRDefault="00CB021A" w:rsidP="00CB021A">
      <w:pPr>
        <w:numPr>
          <w:ilvl w:val="0"/>
          <w:numId w:val="13"/>
        </w:numPr>
        <w:tabs>
          <w:tab w:val="left" w:pos="72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Pro Forma Income</w:t>
      </w:r>
      <w:r w:rsidRPr="00CB021A">
        <w:rPr>
          <w:rFonts w:ascii="Arial" w:eastAsia="Times New Roman" w:hAnsi="Arial" w:cs="Times New Roman"/>
          <w:sz w:val="24"/>
          <w:szCs w:val="20"/>
        </w:rPr>
        <w:t xml:space="preserve"> – Companies whose stock is publicly traded are required to present their income statement following generally accepted accounting principles (GAAP).  </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In recent years, many companies have been also reporting a second measure of income, in addition to their GAAP, called pro forma income.</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b/>
          <w:sz w:val="24"/>
          <w:szCs w:val="20"/>
        </w:rPr>
        <w:t>Pro forma income</w:t>
      </w:r>
      <w:r w:rsidRPr="00CB021A">
        <w:rPr>
          <w:rFonts w:ascii="Arial" w:eastAsia="Times New Roman" w:hAnsi="Arial" w:cs="Times New Roman"/>
          <w:sz w:val="24"/>
          <w:szCs w:val="20"/>
        </w:rPr>
        <w:t xml:space="preserve"> is a measure that usually excludes items that the company thinks are unusual or nonrecurring.  </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There are no rules as to how to prepare pro forma earnings.  Companies have a free rein to exclude any items they deem inappropriate for measuring their performance.</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Many analysts are critical of the practice of using pro forma income because these numbers often make companies look better </w:t>
      </w:r>
      <w:proofErr w:type="spellStart"/>
      <w:r w:rsidRPr="00CB021A">
        <w:rPr>
          <w:rFonts w:ascii="Arial" w:eastAsia="Times New Roman" w:hAnsi="Arial" w:cs="Times New Roman"/>
          <w:sz w:val="24"/>
          <w:szCs w:val="20"/>
        </w:rPr>
        <w:t>then</w:t>
      </w:r>
      <w:proofErr w:type="spellEnd"/>
      <w:r w:rsidRPr="00CB021A">
        <w:rPr>
          <w:rFonts w:ascii="Arial" w:eastAsia="Times New Roman" w:hAnsi="Arial" w:cs="Times New Roman"/>
          <w:sz w:val="24"/>
          <w:szCs w:val="20"/>
        </w:rPr>
        <w:t xml:space="preserve"> they really are.</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Pro forma numbers might be called EBS, which stands for “earnings before bad stuff.”</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Companies, on the other hand, argue that pro forma numbers more clearly indicate sustainable income because unusual and nonrecurring expenses are excluded.</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lastRenderedPageBreak/>
        <w:t>Recently, the SEC provided some guidance on how companies should present pro forma information.</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Everyone seems to agree that pro forma numbers can be useful if they provide insights into determining a company’s sustainable income.  However, many companies have abused the flexibility that pro forma numbers allow and have used the measure as a way to put their companies in a more favorable light.</w:t>
      </w:r>
    </w:p>
    <w:p w:rsidR="00CB021A" w:rsidRPr="00CB021A" w:rsidRDefault="00CB021A" w:rsidP="00CB021A">
      <w:pPr>
        <w:numPr>
          <w:ilvl w:val="0"/>
          <w:numId w:val="13"/>
        </w:numPr>
        <w:tabs>
          <w:tab w:val="left" w:pos="72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Improper recognition</w:t>
      </w:r>
      <w:r w:rsidRPr="00CB021A">
        <w:rPr>
          <w:rFonts w:ascii="Arial" w:eastAsia="Times New Roman" w:hAnsi="Arial" w:cs="Times New Roman"/>
          <w:sz w:val="24"/>
          <w:szCs w:val="20"/>
        </w:rPr>
        <w:t xml:space="preserve"> – Because some managers have felt the pressure to continually increase earnings, they have manipulated the earnings numbers to meet these expectations.  </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most common abuse is the improper recognition of revenue.</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One practice that companies are using is called </w:t>
      </w:r>
      <w:r w:rsidRPr="00CB021A">
        <w:rPr>
          <w:rFonts w:ascii="Arial" w:eastAsia="Times New Roman" w:hAnsi="Arial" w:cs="Times New Roman"/>
          <w:b/>
          <w:sz w:val="24"/>
          <w:szCs w:val="20"/>
        </w:rPr>
        <w:t>channel stuffing</w:t>
      </w:r>
      <w:r w:rsidRPr="00CB021A">
        <w:rPr>
          <w:rFonts w:ascii="Arial" w:eastAsia="Times New Roman" w:hAnsi="Arial" w:cs="Times New Roman"/>
          <w:sz w:val="24"/>
          <w:szCs w:val="20"/>
        </w:rPr>
        <w:t>.  Offering deep discounts on their products to customers, companies encourage their customers to buy early (stuff the channel) rather than later.</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This lets the company report good earnings in the current period, but it often leads to a disaster in subsequent periods because customers have no need for additional goods.</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Another practice is the improper capitalization of operating expenses.  The classic case is </w:t>
      </w:r>
      <w:r w:rsidRPr="00CB021A">
        <w:rPr>
          <w:rFonts w:ascii="Arial" w:eastAsia="Times New Roman" w:hAnsi="Arial" w:cs="Times New Roman"/>
          <w:b/>
          <w:sz w:val="24"/>
          <w:szCs w:val="20"/>
        </w:rPr>
        <w:t>WorldCom</w:t>
      </w:r>
      <w:r w:rsidRPr="00CB021A">
        <w:rPr>
          <w:rFonts w:ascii="Arial" w:eastAsia="Times New Roman" w:hAnsi="Arial" w:cs="Times New Roman"/>
          <w:sz w:val="24"/>
          <w:szCs w:val="20"/>
        </w:rPr>
        <w:t>, which capitalized over $7 billion of operating expenses to ensure that it would report positive net income.</w:t>
      </w:r>
    </w:p>
    <w:p w:rsidR="00CB021A" w:rsidRPr="00CB021A" w:rsidRDefault="00CB021A" w:rsidP="00CB021A">
      <w:pPr>
        <w:numPr>
          <w:ilvl w:val="0"/>
          <w:numId w:val="14"/>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 xml:space="preserve">Price-Earnings Ratio – In order to make a meaningful comparison of market values and earnings across firms, investors calculate </w:t>
      </w:r>
      <w:proofErr w:type="gramStart"/>
      <w:r w:rsidRPr="00CB021A">
        <w:rPr>
          <w:rFonts w:ascii="Arial" w:eastAsia="Times New Roman" w:hAnsi="Arial" w:cs="Times New Roman"/>
          <w:sz w:val="24"/>
          <w:szCs w:val="20"/>
        </w:rPr>
        <w:t>the  price</w:t>
      </w:r>
      <w:proofErr w:type="gramEnd"/>
      <w:r w:rsidRPr="00CB021A">
        <w:rPr>
          <w:rFonts w:ascii="Arial" w:eastAsia="Times New Roman" w:hAnsi="Arial" w:cs="Times New Roman"/>
          <w:sz w:val="24"/>
          <w:szCs w:val="20"/>
        </w:rPr>
        <w:t>-earnings (P-E) ratio.</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P-E ratio, divides the market price of a share of common stock by earnings per share.</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P-E ratio reflects investors’ assessment of a company’s future earnings.</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Higher P-E ratios are associated with a greater willingness of investors to pay more per share of stock, because they believe the company will have substantial earnings in the future </w:t>
      </w:r>
    </w:p>
    <w:p w:rsidR="00CB021A" w:rsidRPr="00CB021A" w:rsidRDefault="00CB021A" w:rsidP="00CB021A">
      <w:pPr>
        <w:numPr>
          <w:ilvl w:val="0"/>
          <w:numId w:val="14"/>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A low price-earnings ratio often signifies that investors think the company’s future earnings will not be strong or that it has poor-quality earnings.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8"/>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Many ratios used for evaluating the financial health and performance of a company are presented in the text.  This appendix provides a comprehensive review of those ratios, discusses some important relationships among them, and focuses on their interpretation.</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8"/>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As indicated in the chapter, for analysis of the primary financial statements, ratios can be classified into three types:</w:t>
      </w:r>
    </w:p>
    <w:p w:rsidR="00CB021A" w:rsidRPr="00CB021A" w:rsidRDefault="00CB021A" w:rsidP="00CB021A">
      <w:pPr>
        <w:numPr>
          <w:ilvl w:val="0"/>
          <w:numId w:val="52"/>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Liquidity ratios:</w:t>
      </w:r>
      <w:r w:rsidRPr="00CB021A">
        <w:rPr>
          <w:rFonts w:ascii="Arial" w:eastAsia="Times New Roman" w:hAnsi="Arial" w:cs="Times New Roman"/>
          <w:sz w:val="24"/>
          <w:szCs w:val="20"/>
        </w:rPr>
        <w:t xml:space="preserve">  Measures of the short-term ability of the company to pay its maturing obligations and to meet unexpected needs for cash.</w:t>
      </w:r>
    </w:p>
    <w:p w:rsidR="00CB021A" w:rsidRPr="00CB021A" w:rsidRDefault="00CB021A" w:rsidP="00CB021A">
      <w:pPr>
        <w:numPr>
          <w:ilvl w:val="0"/>
          <w:numId w:val="52"/>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Solvency ratios:</w:t>
      </w:r>
      <w:r w:rsidRPr="00CB021A">
        <w:rPr>
          <w:rFonts w:ascii="Arial" w:eastAsia="Times New Roman" w:hAnsi="Arial" w:cs="Times New Roman"/>
          <w:sz w:val="24"/>
          <w:szCs w:val="20"/>
        </w:rPr>
        <w:t xml:space="preserve">  Measures of the ability of the company to survive over a long period of time.</w:t>
      </w:r>
    </w:p>
    <w:p w:rsidR="00CB021A" w:rsidRPr="00CB021A" w:rsidRDefault="00CB021A" w:rsidP="00CB021A">
      <w:pPr>
        <w:numPr>
          <w:ilvl w:val="0"/>
          <w:numId w:val="52"/>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Profitability ratios:</w:t>
      </w:r>
      <w:r w:rsidRPr="00CB021A">
        <w:rPr>
          <w:rFonts w:ascii="Arial" w:eastAsia="Times New Roman" w:hAnsi="Arial" w:cs="Times New Roman"/>
          <w:sz w:val="24"/>
          <w:szCs w:val="20"/>
        </w:rPr>
        <w:t xml:space="preserve">  Measures of the income or operating success of a company for a given period of time.</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keepNext/>
        <w:tabs>
          <w:tab w:val="left" w:pos="360"/>
        </w:tabs>
        <w:spacing w:after="0" w:line="240" w:lineRule="auto"/>
        <w:rPr>
          <w:rFonts w:ascii="Arial" w:eastAsia="Times New Roman" w:hAnsi="Arial" w:cs="Times New Roman"/>
          <w:snapToGrid w:val="0"/>
          <w:sz w:val="24"/>
          <w:szCs w:val="20"/>
        </w:rPr>
      </w:pPr>
    </w:p>
    <w:p w:rsidR="00CB021A" w:rsidRPr="00CB021A" w:rsidRDefault="00CB021A" w:rsidP="00CB021A">
      <w:pPr>
        <w:numPr>
          <w:ilvl w:val="0"/>
          <w:numId w:val="26"/>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Ratios can provide clues to underlying conditions that may not be apparent from an inspection of the individual components.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6"/>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A single ratio by itself is not very meaningful.</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6"/>
        </w:numPr>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The discussion on ratios uses the following comparisons:</w:t>
      </w:r>
    </w:p>
    <w:p w:rsidR="00CB021A" w:rsidRPr="00CB021A" w:rsidRDefault="00CB021A" w:rsidP="00CB021A">
      <w:pPr>
        <w:numPr>
          <w:ilvl w:val="0"/>
          <w:numId w:val="27"/>
        </w:numPr>
        <w:tabs>
          <w:tab w:val="left" w:pos="-1440"/>
        </w:tabs>
        <w:spacing w:after="0" w:line="240" w:lineRule="auto"/>
        <w:ind w:left="720"/>
        <w:rPr>
          <w:rFonts w:ascii="Arial" w:eastAsia="Times New Roman" w:hAnsi="Arial" w:cs="Times New Roman"/>
          <w:sz w:val="24"/>
          <w:szCs w:val="20"/>
        </w:rPr>
      </w:pPr>
      <w:proofErr w:type="spellStart"/>
      <w:r w:rsidRPr="00CB021A">
        <w:rPr>
          <w:rFonts w:ascii="Arial" w:eastAsia="Times New Roman" w:hAnsi="Arial" w:cs="Times New Roman"/>
          <w:b/>
          <w:sz w:val="24"/>
          <w:szCs w:val="20"/>
        </w:rPr>
        <w:t>Intracompany</w:t>
      </w:r>
      <w:proofErr w:type="spellEnd"/>
      <w:r w:rsidRPr="00CB021A">
        <w:rPr>
          <w:rFonts w:ascii="Arial" w:eastAsia="Times New Roman" w:hAnsi="Arial" w:cs="Times New Roman"/>
          <w:b/>
          <w:sz w:val="24"/>
          <w:szCs w:val="20"/>
        </w:rPr>
        <w:t xml:space="preserve"> comparisons</w:t>
      </w:r>
      <w:r w:rsidRPr="00CB021A">
        <w:rPr>
          <w:rFonts w:ascii="Arial" w:eastAsia="Times New Roman" w:hAnsi="Arial" w:cs="Times New Roman"/>
          <w:sz w:val="24"/>
          <w:szCs w:val="20"/>
        </w:rPr>
        <w:t xml:space="preserve"> covering two years for Kellogg Company.</w:t>
      </w:r>
    </w:p>
    <w:p w:rsidR="00CB021A" w:rsidRPr="00CB021A" w:rsidRDefault="00CB021A" w:rsidP="00CB021A">
      <w:pPr>
        <w:numPr>
          <w:ilvl w:val="0"/>
          <w:numId w:val="27"/>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Intercompany comparisons</w:t>
      </w:r>
      <w:r w:rsidRPr="00CB021A">
        <w:rPr>
          <w:rFonts w:ascii="Arial" w:eastAsia="Times New Roman" w:hAnsi="Arial" w:cs="Times New Roman"/>
          <w:sz w:val="24"/>
          <w:szCs w:val="20"/>
        </w:rPr>
        <w:t xml:space="preserve"> using the General Mills, as one of Kellogg's principal competitors.</w:t>
      </w:r>
    </w:p>
    <w:p w:rsidR="00CB021A" w:rsidRPr="00CB021A" w:rsidRDefault="00CB021A" w:rsidP="00CB021A">
      <w:pPr>
        <w:numPr>
          <w:ilvl w:val="0"/>
          <w:numId w:val="27"/>
        </w:numPr>
        <w:tabs>
          <w:tab w:val="left" w:pos="-1440"/>
        </w:tabs>
        <w:spacing w:after="0" w:line="240" w:lineRule="auto"/>
        <w:ind w:left="720"/>
        <w:rPr>
          <w:rFonts w:ascii="Arial" w:eastAsia="Times New Roman" w:hAnsi="Arial" w:cs="Times New Roman"/>
          <w:sz w:val="24"/>
          <w:szCs w:val="20"/>
        </w:rPr>
      </w:pPr>
      <w:r w:rsidRPr="00CB021A">
        <w:rPr>
          <w:rFonts w:ascii="Arial" w:eastAsia="Times New Roman" w:hAnsi="Arial" w:cs="Times New Roman"/>
          <w:b/>
          <w:sz w:val="24"/>
          <w:szCs w:val="20"/>
        </w:rPr>
        <w:t>Industry average comparisons</w:t>
      </w:r>
      <w:r w:rsidRPr="00CB021A">
        <w:rPr>
          <w:rFonts w:ascii="Arial" w:eastAsia="Times New Roman" w:hAnsi="Arial" w:cs="Times New Roman"/>
          <w:sz w:val="24"/>
          <w:szCs w:val="20"/>
        </w:rPr>
        <w:t xml:space="preserve"> based on Reuters.com median ratios for manufacturers of flour and other grain mill products and comparisons with other sources.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28"/>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 xml:space="preserve">Liquidity ratios </w:t>
      </w:r>
      <w:r w:rsidRPr="00CB021A">
        <w:rPr>
          <w:rFonts w:ascii="Arial" w:eastAsia="Times New Roman" w:hAnsi="Arial" w:cs="Times New Roman"/>
          <w:sz w:val="24"/>
          <w:szCs w:val="20"/>
        </w:rPr>
        <w:t xml:space="preserve">measure the short-term ability of the enterprise to pay its maturing obligations and to meet unexpected needs for cash.  </w:t>
      </w:r>
    </w:p>
    <w:p w:rsidR="00CB021A" w:rsidRPr="00CB021A" w:rsidRDefault="00CB021A" w:rsidP="00CB021A">
      <w:pPr>
        <w:numPr>
          <w:ilvl w:val="0"/>
          <w:numId w:val="2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Short-term creditors, such as bankers and suppliers, are particularly interested in assessing liquidity.</w:t>
      </w:r>
    </w:p>
    <w:p w:rsidR="00CB021A" w:rsidRPr="00CB021A" w:rsidRDefault="00CB021A" w:rsidP="00CB021A">
      <w:pPr>
        <w:numPr>
          <w:ilvl w:val="0"/>
          <w:numId w:val="29"/>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The measures that can be used to determine the enterprise's short-term debt-paying ability are the current ratio, the current cash debt coverage ratio, the receivables turnover ratio, the average collection period, the inventory turnover ratio, and the average days in inventory.</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current ratio</w:t>
      </w:r>
      <w:r w:rsidRPr="00CB021A">
        <w:rPr>
          <w:rFonts w:ascii="Arial" w:eastAsia="Times New Roman" w:hAnsi="Arial" w:cs="Times New Roman"/>
          <w:sz w:val="24"/>
          <w:szCs w:val="20"/>
        </w:rPr>
        <w:t xml:space="preserve"> expresses the relationship of current assets to current liabilities, computed by dividing current assets by current liabilities.</w:t>
      </w:r>
    </w:p>
    <w:p w:rsidR="00CB021A" w:rsidRPr="00CB021A" w:rsidRDefault="00CB021A" w:rsidP="00CB021A">
      <w:pPr>
        <w:numPr>
          <w:ilvl w:val="0"/>
          <w:numId w:val="30"/>
        </w:numPr>
        <w:tabs>
          <w:tab w:val="left" w:pos="-144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current ratio is widely used for evaluating a company's liquidity and short-term debt-paying ability.</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2.</w:t>
      </w:r>
      <w:r w:rsidRPr="00CB021A">
        <w:rPr>
          <w:rFonts w:ascii="Arial" w:eastAsia="Times New Roman" w:hAnsi="Arial" w:cs="Times New Roman"/>
          <w:sz w:val="24"/>
          <w:szCs w:val="20"/>
        </w:rPr>
        <w:tab/>
      </w:r>
      <w:r w:rsidRPr="00CB021A">
        <w:rPr>
          <w:rFonts w:ascii="Arial" w:eastAsia="Times New Roman" w:hAnsi="Arial" w:cs="Times New Roman"/>
          <w:b/>
          <w:sz w:val="24"/>
          <w:szCs w:val="20"/>
        </w:rPr>
        <w:t>Current cash debt coverage ratio</w:t>
      </w:r>
      <w:r w:rsidRPr="00CB021A">
        <w:rPr>
          <w:rFonts w:ascii="Arial" w:eastAsia="Times New Roman" w:hAnsi="Arial" w:cs="Times New Roman"/>
          <w:sz w:val="24"/>
          <w:szCs w:val="20"/>
        </w:rPr>
        <w:t xml:space="preserve"> is the ratio of cash provided by operating activities to average current liabilities.</w:t>
      </w:r>
    </w:p>
    <w:p w:rsidR="00CB021A" w:rsidRPr="00CB021A" w:rsidRDefault="00CB021A" w:rsidP="00CB021A">
      <w:pPr>
        <w:numPr>
          <w:ilvl w:val="0"/>
          <w:numId w:val="30"/>
        </w:numPr>
        <w:tabs>
          <w:tab w:val="left" w:pos="-144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A disadvantage of the current ratio is that it uses year-end balances of current asset and current liability accounts.</w:t>
      </w:r>
    </w:p>
    <w:p w:rsidR="00CB021A" w:rsidRPr="00CB021A" w:rsidRDefault="00CB021A" w:rsidP="00CB021A">
      <w:pPr>
        <w:numPr>
          <w:ilvl w:val="0"/>
          <w:numId w:val="30"/>
        </w:numPr>
        <w:tabs>
          <w:tab w:val="left" w:pos="-144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Those year-end balances may not be representative of the company’s current position during most of the year.</w:t>
      </w:r>
    </w:p>
    <w:p w:rsidR="00CB021A" w:rsidRPr="00CB021A" w:rsidRDefault="00CB021A" w:rsidP="00CB021A">
      <w:pPr>
        <w:numPr>
          <w:ilvl w:val="0"/>
          <w:numId w:val="30"/>
        </w:numPr>
        <w:tabs>
          <w:tab w:val="left" w:pos="-144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Because it partially corrects for this problem by using cash provided by operating activities rather than a balance at one point in time, the current cash debt coverage ratio may provide a better representation of liquidity.</w:t>
      </w:r>
    </w:p>
    <w:p w:rsidR="00CB021A" w:rsidRPr="00CB021A" w:rsidRDefault="00CB021A" w:rsidP="00CB021A">
      <w:pPr>
        <w:numPr>
          <w:ilvl w:val="0"/>
          <w:numId w:val="30"/>
        </w:numPr>
        <w:tabs>
          <w:tab w:val="left" w:pos="-144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Review the information in Illustration 13A-6.</w:t>
      </w:r>
    </w:p>
    <w:p w:rsidR="00CB021A" w:rsidRPr="00CB021A" w:rsidRDefault="00CB021A" w:rsidP="00CB021A">
      <w:pPr>
        <w:tabs>
          <w:tab w:val="left" w:pos="-1440"/>
          <w:tab w:val="left" w:pos="1080"/>
        </w:tabs>
        <w:spacing w:after="0" w:line="240" w:lineRule="auto"/>
        <w:rPr>
          <w:rFonts w:ascii="Arial" w:eastAsia="Times New Roman" w:hAnsi="Arial" w:cs="Times New Roman"/>
          <w:sz w:val="24"/>
          <w:szCs w:val="20"/>
        </w:rPr>
      </w:pPr>
    </w:p>
    <w:p w:rsidR="00CB021A" w:rsidRPr="00CB021A" w:rsidRDefault="00CB021A" w:rsidP="00CB021A">
      <w:pPr>
        <w:tabs>
          <w:tab w:val="left" w:pos="4320"/>
          <w:tab w:val="left" w:pos="5400"/>
          <w:tab w:val="left" w:pos="6480"/>
          <w:tab w:val="left" w:pos="7560"/>
        </w:tabs>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3.</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receivables turnover ratio</w:t>
      </w:r>
      <w:r w:rsidRPr="00CB021A">
        <w:rPr>
          <w:rFonts w:ascii="Arial" w:eastAsia="Times New Roman" w:hAnsi="Arial" w:cs="Times New Roman"/>
          <w:sz w:val="24"/>
          <w:szCs w:val="20"/>
        </w:rPr>
        <w:t xml:space="preserve"> measures liquidity by determining how quickly certain assets can be converted to cash.</w:t>
      </w:r>
    </w:p>
    <w:p w:rsidR="00CB021A" w:rsidRPr="00CB021A" w:rsidRDefault="00CB021A" w:rsidP="00CB021A">
      <w:pPr>
        <w:numPr>
          <w:ilvl w:val="0"/>
          <w:numId w:val="31"/>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The receivables turnover ratio measures the number of times, on </w:t>
      </w:r>
      <w:proofErr w:type="gramStart"/>
      <w:r w:rsidRPr="00CB021A">
        <w:rPr>
          <w:rFonts w:ascii="Arial" w:eastAsia="Times New Roman" w:hAnsi="Arial" w:cs="Times New Roman"/>
          <w:sz w:val="24"/>
          <w:szCs w:val="20"/>
        </w:rPr>
        <w:t>average,</w:t>
      </w:r>
      <w:proofErr w:type="gramEnd"/>
      <w:r w:rsidRPr="00CB021A">
        <w:rPr>
          <w:rFonts w:ascii="Arial" w:eastAsia="Times New Roman" w:hAnsi="Arial" w:cs="Times New Roman"/>
          <w:sz w:val="24"/>
          <w:szCs w:val="20"/>
        </w:rPr>
        <w:t xml:space="preserve"> receivables are collected during the period.</w:t>
      </w:r>
    </w:p>
    <w:p w:rsidR="00CB021A" w:rsidRPr="00CB021A" w:rsidRDefault="00CB021A" w:rsidP="00CB021A">
      <w:pPr>
        <w:numPr>
          <w:ilvl w:val="0"/>
          <w:numId w:val="31"/>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lastRenderedPageBreak/>
        <w:t>The receivables turnover ratio is computed by dividing net credit sales (net sales less cash sales) by average net receivables during the year.</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4.</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average collection period</w:t>
      </w:r>
      <w:r w:rsidRPr="00CB021A">
        <w:rPr>
          <w:rFonts w:ascii="Arial" w:eastAsia="Times New Roman" w:hAnsi="Arial" w:cs="Times New Roman"/>
          <w:sz w:val="24"/>
          <w:szCs w:val="20"/>
        </w:rPr>
        <w:t xml:space="preserve"> is a popular variant of the receivables turnover ratio.</w:t>
      </w:r>
    </w:p>
    <w:p w:rsidR="00CB021A" w:rsidRPr="00CB021A" w:rsidRDefault="00CB021A" w:rsidP="00CB021A">
      <w:pPr>
        <w:numPr>
          <w:ilvl w:val="0"/>
          <w:numId w:val="32"/>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The average collection period converts the receivables turnover into an </w:t>
      </w:r>
      <w:r w:rsidRPr="00CB021A">
        <w:rPr>
          <w:rFonts w:ascii="Arial" w:eastAsia="Times New Roman" w:hAnsi="Arial" w:cs="Times New Roman"/>
          <w:b/>
          <w:sz w:val="24"/>
          <w:szCs w:val="20"/>
        </w:rPr>
        <w:t xml:space="preserve">average collection period </w:t>
      </w:r>
      <w:r w:rsidRPr="00CB021A">
        <w:rPr>
          <w:rFonts w:ascii="Arial" w:eastAsia="Times New Roman" w:hAnsi="Arial" w:cs="Times New Roman"/>
          <w:sz w:val="24"/>
          <w:szCs w:val="20"/>
        </w:rPr>
        <w:t>expressed in days.</w:t>
      </w:r>
    </w:p>
    <w:p w:rsidR="00CB021A" w:rsidRPr="00CB021A" w:rsidRDefault="00CB021A" w:rsidP="00CB021A">
      <w:pPr>
        <w:numPr>
          <w:ilvl w:val="0"/>
          <w:numId w:val="32"/>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ratio is computed by dividing the receivables turnover ratio into 365 days.</w:t>
      </w:r>
    </w:p>
    <w:p w:rsidR="00CB021A" w:rsidRPr="00CB021A" w:rsidRDefault="00CB021A" w:rsidP="00CB021A">
      <w:pPr>
        <w:numPr>
          <w:ilvl w:val="0"/>
          <w:numId w:val="32"/>
        </w:numPr>
        <w:tabs>
          <w:tab w:val="left" w:pos="-144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general rule is that the collection period should not greatly exceed the credit term period.</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5.</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inventory turnover ratio</w:t>
      </w:r>
      <w:r w:rsidRPr="00CB021A">
        <w:rPr>
          <w:rFonts w:ascii="Arial" w:eastAsia="Times New Roman" w:hAnsi="Arial" w:cs="Times New Roman"/>
          <w:sz w:val="24"/>
          <w:szCs w:val="20"/>
        </w:rPr>
        <w:t xml:space="preserve"> measures the number of times on average the inventory is sold during the period.</w:t>
      </w:r>
    </w:p>
    <w:p w:rsidR="00CB021A" w:rsidRPr="00CB021A" w:rsidRDefault="00CB021A" w:rsidP="00CB021A">
      <w:pPr>
        <w:numPr>
          <w:ilvl w:val="0"/>
          <w:numId w:val="33"/>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purpose of this ratio is to measure the liquidity of the inventory.</w:t>
      </w:r>
    </w:p>
    <w:p w:rsidR="00CB021A" w:rsidRPr="00CB021A" w:rsidRDefault="00CB021A" w:rsidP="00CB021A">
      <w:pPr>
        <w:numPr>
          <w:ilvl w:val="0"/>
          <w:numId w:val="33"/>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inventory turnover ratio is computed by dividing the cost of goods sold by the average inventory during the period.</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6.</w:t>
      </w:r>
      <w:r w:rsidRPr="00CB021A">
        <w:rPr>
          <w:rFonts w:ascii="Arial" w:eastAsia="Times New Roman" w:hAnsi="Arial" w:cs="Times New Roman"/>
          <w:sz w:val="24"/>
          <w:szCs w:val="20"/>
        </w:rPr>
        <w:tab/>
      </w:r>
      <w:r w:rsidRPr="00CB021A">
        <w:rPr>
          <w:rFonts w:ascii="Arial" w:eastAsia="Times New Roman" w:hAnsi="Arial" w:cs="Times New Roman"/>
          <w:b/>
          <w:sz w:val="24"/>
          <w:szCs w:val="20"/>
        </w:rPr>
        <w:t>Days in inventory</w:t>
      </w:r>
      <w:r w:rsidRPr="00CB021A">
        <w:rPr>
          <w:rFonts w:ascii="Arial" w:eastAsia="Times New Roman" w:hAnsi="Arial" w:cs="Times New Roman"/>
          <w:sz w:val="24"/>
          <w:szCs w:val="20"/>
        </w:rPr>
        <w:t xml:space="preserve"> </w:t>
      </w:r>
      <w:proofErr w:type="gramStart"/>
      <w:r w:rsidRPr="00CB021A">
        <w:rPr>
          <w:rFonts w:ascii="Arial" w:eastAsia="Times New Roman" w:hAnsi="Arial" w:cs="Times New Roman"/>
          <w:sz w:val="24"/>
          <w:szCs w:val="20"/>
        </w:rPr>
        <w:t>is</w:t>
      </w:r>
      <w:proofErr w:type="gramEnd"/>
      <w:r w:rsidRPr="00CB021A">
        <w:rPr>
          <w:rFonts w:ascii="Arial" w:eastAsia="Times New Roman" w:hAnsi="Arial" w:cs="Times New Roman"/>
          <w:sz w:val="24"/>
          <w:szCs w:val="20"/>
        </w:rPr>
        <w:t xml:space="preserve"> a variant of the inventory turnover ratio.</w:t>
      </w:r>
    </w:p>
    <w:p w:rsidR="00CB021A" w:rsidRPr="00CB021A" w:rsidRDefault="00CB021A" w:rsidP="00CB021A">
      <w:pPr>
        <w:numPr>
          <w:ilvl w:val="0"/>
          <w:numId w:val="34"/>
        </w:numPr>
        <w:tabs>
          <w:tab w:val="left" w:pos="72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The days in inventory measures the average number of </w:t>
      </w:r>
      <w:proofErr w:type="gramStart"/>
      <w:r w:rsidRPr="00CB021A">
        <w:rPr>
          <w:rFonts w:ascii="Arial" w:eastAsia="Times New Roman" w:hAnsi="Arial" w:cs="Times New Roman"/>
          <w:sz w:val="24"/>
          <w:szCs w:val="20"/>
        </w:rPr>
        <w:t>days</w:t>
      </w:r>
      <w:proofErr w:type="gramEnd"/>
      <w:r w:rsidRPr="00CB021A">
        <w:rPr>
          <w:rFonts w:ascii="Arial" w:eastAsia="Times New Roman" w:hAnsi="Arial" w:cs="Times New Roman"/>
          <w:sz w:val="24"/>
          <w:szCs w:val="20"/>
        </w:rPr>
        <w:t xml:space="preserve"> inventory is held.</w:t>
      </w:r>
    </w:p>
    <w:p w:rsidR="00CB021A" w:rsidRPr="00CB021A" w:rsidRDefault="00CB021A" w:rsidP="00CB021A">
      <w:pPr>
        <w:numPr>
          <w:ilvl w:val="0"/>
          <w:numId w:val="34"/>
        </w:numPr>
        <w:tabs>
          <w:tab w:val="left" w:pos="72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It is computed by dividing the inventory turnover ratio into 365 days.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35"/>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 xml:space="preserve">Solvency ratios – </w:t>
      </w:r>
      <w:r w:rsidRPr="00CB021A">
        <w:rPr>
          <w:rFonts w:ascii="Arial" w:eastAsia="Times New Roman" w:hAnsi="Arial" w:cs="Times New Roman"/>
          <w:sz w:val="24"/>
          <w:szCs w:val="20"/>
        </w:rPr>
        <w:t>measure the ability of the enterprise to survive over a long period of time.</w:t>
      </w:r>
    </w:p>
    <w:p w:rsidR="00CB021A" w:rsidRPr="00CB021A" w:rsidRDefault="00CB021A" w:rsidP="00CB021A">
      <w:pPr>
        <w:numPr>
          <w:ilvl w:val="0"/>
          <w:numId w:val="36"/>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Long-term creditors and stockholders are interested in a company's long-run solvency, particularly its ability to pay interest as it comes due and to repay the face value of debt at maturity.</w:t>
      </w:r>
      <w:r w:rsidRPr="00CB021A">
        <w:rPr>
          <w:rFonts w:ascii="Arial" w:eastAsia="Times New Roman" w:hAnsi="Arial" w:cs="Times New Roman"/>
          <w:sz w:val="24"/>
          <w:szCs w:val="20"/>
        </w:rPr>
        <w:tab/>
      </w:r>
      <w:r w:rsidRPr="00CB021A">
        <w:rPr>
          <w:rFonts w:ascii="Arial" w:eastAsia="Times New Roman" w:hAnsi="Arial" w:cs="Times New Roman"/>
          <w:sz w:val="24"/>
          <w:szCs w:val="20"/>
        </w:rPr>
        <w:tab/>
      </w:r>
    </w:p>
    <w:p w:rsidR="00CB021A" w:rsidRPr="00CB021A" w:rsidRDefault="00CB021A" w:rsidP="00CB021A">
      <w:pPr>
        <w:numPr>
          <w:ilvl w:val="0"/>
          <w:numId w:val="36"/>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 xml:space="preserve">The debt to total assets ratio, the times interest earned ratio, and the cash debt coverage ratio provide information </w:t>
      </w:r>
      <w:proofErr w:type="spellStart"/>
      <w:r w:rsidRPr="00CB021A">
        <w:rPr>
          <w:rFonts w:ascii="Arial" w:eastAsia="Times New Roman" w:hAnsi="Arial" w:cs="Times New Roman"/>
          <w:sz w:val="24"/>
          <w:szCs w:val="20"/>
        </w:rPr>
        <w:t>abut</w:t>
      </w:r>
      <w:proofErr w:type="spellEnd"/>
      <w:r w:rsidRPr="00CB021A">
        <w:rPr>
          <w:rFonts w:ascii="Arial" w:eastAsia="Times New Roman" w:hAnsi="Arial" w:cs="Times New Roman"/>
          <w:sz w:val="24"/>
          <w:szCs w:val="20"/>
        </w:rPr>
        <w:t xml:space="preserve"> debt-paying ability.</w:t>
      </w:r>
    </w:p>
    <w:p w:rsidR="00CB021A" w:rsidRPr="00CB021A" w:rsidRDefault="00CB021A" w:rsidP="00CB021A">
      <w:pPr>
        <w:numPr>
          <w:ilvl w:val="0"/>
          <w:numId w:val="36"/>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In addition free cash flow provides information about the company’s solvency and its ability to pay additional dividends or invest in new projects.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7.</w:t>
      </w:r>
      <w:r w:rsidRPr="00CB021A">
        <w:rPr>
          <w:rFonts w:ascii="Arial" w:eastAsia="Times New Roman" w:hAnsi="Arial" w:cs="Times New Roman"/>
          <w:sz w:val="24"/>
          <w:szCs w:val="20"/>
        </w:rPr>
        <w:tab/>
        <w:t>The</w:t>
      </w:r>
      <w:r w:rsidRPr="00CB021A">
        <w:rPr>
          <w:rFonts w:ascii="Arial" w:eastAsia="Times New Roman" w:hAnsi="Arial" w:cs="Times New Roman"/>
          <w:b/>
          <w:sz w:val="24"/>
          <w:szCs w:val="20"/>
        </w:rPr>
        <w:t xml:space="preserve"> debt to total asset ratio</w:t>
      </w:r>
      <w:r w:rsidRPr="00CB021A">
        <w:rPr>
          <w:rFonts w:ascii="Arial" w:eastAsia="Times New Roman" w:hAnsi="Arial" w:cs="Times New Roman"/>
          <w:sz w:val="24"/>
          <w:szCs w:val="20"/>
        </w:rPr>
        <w:t xml:space="preserve"> measures the percentage of total assets provided by creditors.</w:t>
      </w:r>
    </w:p>
    <w:p w:rsidR="00CB021A" w:rsidRPr="00CB021A" w:rsidRDefault="00CB021A" w:rsidP="00CB021A">
      <w:pPr>
        <w:numPr>
          <w:ilvl w:val="0"/>
          <w:numId w:val="37"/>
        </w:numPr>
        <w:tabs>
          <w:tab w:val="left" w:pos="1080"/>
        </w:tabs>
        <w:spacing w:after="0" w:line="240" w:lineRule="auto"/>
        <w:ind w:left="1080"/>
        <w:rPr>
          <w:rFonts w:ascii="Arial" w:eastAsia="Times New Roman" w:hAnsi="Arial" w:cs="Times New Roman"/>
          <w:b/>
          <w:sz w:val="24"/>
          <w:szCs w:val="20"/>
        </w:rPr>
      </w:pPr>
      <w:r w:rsidRPr="00CB021A">
        <w:rPr>
          <w:rFonts w:ascii="Arial" w:eastAsia="Times New Roman" w:hAnsi="Arial" w:cs="Times New Roman"/>
          <w:sz w:val="24"/>
          <w:szCs w:val="20"/>
        </w:rPr>
        <w:t>It is computed by dividing total liabilities (both current and long-term) by total assets.</w:t>
      </w:r>
    </w:p>
    <w:p w:rsidR="00CB021A" w:rsidRPr="00CB021A" w:rsidRDefault="00CB021A" w:rsidP="00CB021A">
      <w:pPr>
        <w:numPr>
          <w:ilvl w:val="0"/>
          <w:numId w:val="37"/>
        </w:numPr>
        <w:tabs>
          <w:tab w:val="left" w:pos="1080"/>
        </w:tabs>
        <w:spacing w:after="0" w:line="240" w:lineRule="auto"/>
        <w:ind w:left="1080"/>
        <w:rPr>
          <w:rFonts w:ascii="Arial" w:eastAsia="Times New Roman" w:hAnsi="Arial" w:cs="Times New Roman"/>
          <w:b/>
          <w:sz w:val="24"/>
          <w:szCs w:val="20"/>
        </w:rPr>
      </w:pPr>
      <w:r w:rsidRPr="00CB021A">
        <w:rPr>
          <w:rFonts w:ascii="Arial" w:eastAsia="Times New Roman" w:hAnsi="Arial" w:cs="Times New Roman"/>
          <w:sz w:val="24"/>
          <w:szCs w:val="20"/>
        </w:rPr>
        <w:t>This ratio indicates the degree of financial leveraging and provides some indication of the company's ability to withstand losses without impairing the interests of its creditors.</w:t>
      </w:r>
    </w:p>
    <w:p w:rsidR="00CB021A" w:rsidRPr="00CB021A" w:rsidRDefault="00CB021A" w:rsidP="00CB021A">
      <w:pPr>
        <w:numPr>
          <w:ilvl w:val="0"/>
          <w:numId w:val="37"/>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higher the percentage of debt to total assets, the greater the risk that the company may be unable to meet its maturing obligations.</w:t>
      </w:r>
    </w:p>
    <w:p w:rsidR="00CB021A" w:rsidRPr="00CB021A" w:rsidRDefault="00CB021A" w:rsidP="00CB021A">
      <w:pPr>
        <w:numPr>
          <w:ilvl w:val="0"/>
          <w:numId w:val="37"/>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lower the ratio, the more equity “buffer” is available to creditors if the company becomes insolvent.</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lastRenderedPageBreak/>
        <w:t>8.</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times interest earned ratio</w:t>
      </w:r>
      <w:r w:rsidRPr="00CB021A">
        <w:rPr>
          <w:rFonts w:ascii="Arial" w:eastAsia="Times New Roman" w:hAnsi="Arial" w:cs="Times New Roman"/>
          <w:sz w:val="24"/>
          <w:szCs w:val="20"/>
        </w:rPr>
        <w:t xml:space="preserve">, also called </w:t>
      </w:r>
      <w:r w:rsidRPr="00CB021A">
        <w:rPr>
          <w:rFonts w:ascii="Arial" w:eastAsia="Times New Roman" w:hAnsi="Arial" w:cs="Times New Roman"/>
          <w:b/>
          <w:sz w:val="24"/>
          <w:szCs w:val="20"/>
        </w:rPr>
        <w:t>interest coverage</w:t>
      </w:r>
      <w:r w:rsidRPr="00CB021A">
        <w:rPr>
          <w:rFonts w:ascii="Arial" w:eastAsia="Times New Roman" w:hAnsi="Arial" w:cs="Times New Roman"/>
          <w:sz w:val="24"/>
          <w:szCs w:val="20"/>
        </w:rPr>
        <w:t>, indicates the company's ability to meet interest payments as they come due.</w:t>
      </w:r>
    </w:p>
    <w:p w:rsidR="00CB021A" w:rsidRPr="00CB021A" w:rsidRDefault="00CB021A" w:rsidP="00CB021A">
      <w:pPr>
        <w:numPr>
          <w:ilvl w:val="0"/>
          <w:numId w:val="38"/>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ratio is computed by dividing income before interest expense and income taxes by interest expense.</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9.</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cash debt coverage ratio</w:t>
      </w:r>
      <w:r w:rsidRPr="00CB021A">
        <w:rPr>
          <w:rFonts w:ascii="Arial" w:eastAsia="Times New Roman" w:hAnsi="Arial" w:cs="Times New Roman"/>
          <w:sz w:val="24"/>
          <w:szCs w:val="20"/>
        </w:rPr>
        <w:t xml:space="preserve"> is the ratio of cash provided by operating activities to average total liabilities.</w:t>
      </w:r>
    </w:p>
    <w:p w:rsidR="00CB021A" w:rsidRPr="00CB021A" w:rsidRDefault="00CB021A" w:rsidP="00CB021A">
      <w:pPr>
        <w:numPr>
          <w:ilvl w:val="0"/>
          <w:numId w:val="39"/>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This ratio is a cash-basis measure of solvency.</w:t>
      </w:r>
    </w:p>
    <w:p w:rsidR="00CB021A" w:rsidRPr="00CB021A" w:rsidRDefault="00CB021A" w:rsidP="00CB021A">
      <w:pPr>
        <w:numPr>
          <w:ilvl w:val="0"/>
          <w:numId w:val="39"/>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cash debt coverage ratio indicates a company's ability to repay its liabilities from cash generated from operating activities without having to liquidate the assets used in its operations.</w:t>
      </w:r>
    </w:p>
    <w:p w:rsidR="00CB021A" w:rsidRPr="00CB021A" w:rsidRDefault="00CB021A" w:rsidP="00CB021A">
      <w:pPr>
        <w:tabs>
          <w:tab w:val="left" w:pos="-1440"/>
          <w:tab w:val="left" w:pos="1080"/>
        </w:tabs>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10.</w:t>
      </w:r>
      <w:r w:rsidRPr="00CB021A">
        <w:rPr>
          <w:rFonts w:ascii="Arial" w:eastAsia="Times New Roman" w:hAnsi="Arial" w:cs="Times New Roman"/>
          <w:sz w:val="24"/>
          <w:szCs w:val="20"/>
        </w:rPr>
        <w:tab/>
      </w:r>
      <w:r w:rsidRPr="00CB021A">
        <w:rPr>
          <w:rFonts w:ascii="Arial" w:eastAsia="Times New Roman" w:hAnsi="Arial" w:cs="Times New Roman"/>
          <w:b/>
          <w:sz w:val="24"/>
          <w:szCs w:val="20"/>
        </w:rPr>
        <w:t xml:space="preserve">Free cash flow </w:t>
      </w:r>
      <w:r w:rsidRPr="00CB021A">
        <w:rPr>
          <w:rFonts w:ascii="Arial" w:eastAsia="Times New Roman" w:hAnsi="Arial" w:cs="Times New Roman"/>
          <w:sz w:val="24"/>
          <w:szCs w:val="20"/>
        </w:rPr>
        <w:t>is an indication of a company's solvency and its ability to pay dividends or expand operations.</w:t>
      </w:r>
    </w:p>
    <w:p w:rsidR="00CB021A" w:rsidRPr="00CB021A" w:rsidRDefault="00CB021A" w:rsidP="00CB021A">
      <w:pPr>
        <w:numPr>
          <w:ilvl w:val="0"/>
          <w:numId w:val="40"/>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Free cash flow is the amount of excess cash generated after investing in capital expenditures and paying dividends.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numPr>
          <w:ilvl w:val="0"/>
          <w:numId w:val="41"/>
        </w:numPr>
        <w:spacing w:after="0" w:line="240" w:lineRule="auto"/>
        <w:rPr>
          <w:rFonts w:ascii="Arial" w:eastAsia="Times New Roman" w:hAnsi="Arial" w:cs="Times New Roman"/>
          <w:sz w:val="24"/>
          <w:szCs w:val="20"/>
        </w:rPr>
      </w:pPr>
      <w:r w:rsidRPr="00CB021A">
        <w:rPr>
          <w:rFonts w:ascii="Arial" w:eastAsia="Times New Roman" w:hAnsi="Arial" w:cs="Times New Roman"/>
          <w:b/>
          <w:sz w:val="24"/>
          <w:szCs w:val="20"/>
        </w:rPr>
        <w:t xml:space="preserve">Profitability ratios – </w:t>
      </w:r>
      <w:r w:rsidRPr="00CB021A">
        <w:rPr>
          <w:rFonts w:ascii="Arial" w:eastAsia="Times New Roman" w:hAnsi="Arial" w:cs="Times New Roman"/>
          <w:sz w:val="24"/>
          <w:szCs w:val="20"/>
        </w:rPr>
        <w:t>measure the income or operating success of an enterprise for a given period of time.</w:t>
      </w:r>
    </w:p>
    <w:p w:rsidR="00CB021A" w:rsidRPr="00CB021A" w:rsidRDefault="00CB021A" w:rsidP="00CB021A">
      <w:pPr>
        <w:numPr>
          <w:ilvl w:val="0"/>
          <w:numId w:val="42"/>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Profitability ratios are important because a company's income or lack of it, affects its ability to obtain debt and equity financing, its liquidity position, and its ability to grow.</w:t>
      </w:r>
    </w:p>
    <w:p w:rsidR="00CB021A" w:rsidRPr="00CB021A" w:rsidRDefault="00CB021A" w:rsidP="00CB021A">
      <w:pPr>
        <w:numPr>
          <w:ilvl w:val="0"/>
          <w:numId w:val="42"/>
        </w:numPr>
        <w:spacing w:after="0" w:line="240" w:lineRule="auto"/>
        <w:ind w:left="720"/>
        <w:rPr>
          <w:rFonts w:ascii="Arial" w:eastAsia="Times New Roman" w:hAnsi="Arial" w:cs="Times New Roman"/>
          <w:sz w:val="24"/>
          <w:szCs w:val="20"/>
        </w:rPr>
      </w:pPr>
      <w:r w:rsidRPr="00CB021A">
        <w:rPr>
          <w:rFonts w:ascii="Arial" w:eastAsia="Times New Roman" w:hAnsi="Arial" w:cs="Times New Roman"/>
          <w:sz w:val="24"/>
          <w:szCs w:val="20"/>
        </w:rPr>
        <w:t>Profitability is frequently used as the ultimate test of management's operating effectiveness.</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11.</w:t>
      </w:r>
      <w:r w:rsidRPr="00CB021A">
        <w:rPr>
          <w:rFonts w:ascii="Arial" w:eastAsia="Times New Roman" w:hAnsi="Arial" w:cs="Times New Roman"/>
          <w:sz w:val="24"/>
          <w:szCs w:val="20"/>
        </w:rPr>
        <w:tab/>
      </w:r>
      <w:r w:rsidRPr="00CB021A">
        <w:rPr>
          <w:rFonts w:ascii="Arial" w:eastAsia="Times New Roman" w:hAnsi="Arial" w:cs="Times New Roman"/>
          <w:b/>
          <w:sz w:val="24"/>
          <w:szCs w:val="20"/>
        </w:rPr>
        <w:t>Return on common stockholders' equity ratio</w:t>
      </w:r>
      <w:r w:rsidRPr="00CB021A">
        <w:rPr>
          <w:rFonts w:ascii="Arial" w:eastAsia="Times New Roman" w:hAnsi="Arial" w:cs="Times New Roman"/>
          <w:sz w:val="24"/>
          <w:szCs w:val="20"/>
        </w:rPr>
        <w:t xml:space="preserve"> is a widely used measure of profitability from the common stockholder's viewpoint.</w:t>
      </w:r>
    </w:p>
    <w:p w:rsidR="00CB021A" w:rsidRPr="00CB021A" w:rsidRDefault="00CB021A" w:rsidP="00CB021A">
      <w:pPr>
        <w:numPr>
          <w:ilvl w:val="0"/>
          <w:numId w:val="43"/>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ratio shows how many dollars of net income were earned for each dollar invested by the owners.</w:t>
      </w:r>
    </w:p>
    <w:p w:rsidR="00CB021A" w:rsidRPr="00CB021A" w:rsidRDefault="00CB021A" w:rsidP="00CB021A">
      <w:pPr>
        <w:numPr>
          <w:ilvl w:val="0"/>
          <w:numId w:val="43"/>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Return on common stockholders' equity ratio is computed by dividing net income minus any preferred stock dividends—that is, income available to common stockholders—by average common stockholders' equity.</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12.</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 xml:space="preserve">return on assets ratio </w:t>
      </w:r>
      <w:r w:rsidRPr="00CB021A">
        <w:rPr>
          <w:rFonts w:ascii="Arial" w:eastAsia="Times New Roman" w:hAnsi="Arial" w:cs="Times New Roman"/>
          <w:sz w:val="24"/>
          <w:szCs w:val="20"/>
        </w:rPr>
        <w:t>measures the overall profitability of assets in terms of the income earned on each dollar invested in assets.</w:t>
      </w:r>
    </w:p>
    <w:p w:rsidR="00CB021A" w:rsidRPr="00CB021A" w:rsidRDefault="00CB021A" w:rsidP="00CB021A">
      <w:pPr>
        <w:numPr>
          <w:ilvl w:val="0"/>
          <w:numId w:val="44"/>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return on common stockholders’ equity ratio is affected by two factors:  the return on assets ratio and the degree of leverage.</w:t>
      </w:r>
    </w:p>
    <w:p w:rsidR="00CB021A" w:rsidRPr="00CB021A" w:rsidRDefault="00CB021A" w:rsidP="00CB021A">
      <w:pPr>
        <w:numPr>
          <w:ilvl w:val="0"/>
          <w:numId w:val="44"/>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return on assets ratio is computed by dividing net income by average total assets.</w:t>
      </w:r>
    </w:p>
    <w:p w:rsidR="00CB021A" w:rsidRPr="00CB021A" w:rsidRDefault="00CB021A" w:rsidP="00CB021A">
      <w:pPr>
        <w:tabs>
          <w:tab w:val="left" w:pos="1080"/>
        </w:tabs>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br w:type="page"/>
      </w:r>
      <w:r w:rsidRPr="00CB021A">
        <w:rPr>
          <w:rFonts w:ascii="Arial" w:eastAsia="Times New Roman" w:hAnsi="Arial" w:cs="Times New Roman"/>
          <w:sz w:val="24"/>
          <w:szCs w:val="20"/>
        </w:rPr>
        <w:lastRenderedPageBreak/>
        <w:t>13.</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 xml:space="preserve">profit margin ratio, </w:t>
      </w:r>
      <w:r w:rsidRPr="00CB021A">
        <w:rPr>
          <w:rFonts w:ascii="Arial" w:eastAsia="Times New Roman" w:hAnsi="Arial" w:cs="Times New Roman"/>
          <w:sz w:val="24"/>
          <w:szCs w:val="20"/>
        </w:rPr>
        <w:t>or rate of return on sales, is a measure of the percentage of each dollar of sales that results in net income.</w:t>
      </w:r>
    </w:p>
    <w:p w:rsidR="00CB021A" w:rsidRPr="00CB021A" w:rsidRDefault="00CB021A" w:rsidP="00CB021A">
      <w:pPr>
        <w:numPr>
          <w:ilvl w:val="0"/>
          <w:numId w:val="45"/>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return on assets ratio is affected by two factors, the first of which is the profit margin ratio.</w:t>
      </w:r>
    </w:p>
    <w:p w:rsidR="00CB021A" w:rsidRPr="00CB021A" w:rsidRDefault="00CB021A" w:rsidP="00CB021A">
      <w:pPr>
        <w:numPr>
          <w:ilvl w:val="0"/>
          <w:numId w:val="45"/>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profit margin ratio is computed by dividing net income by net sales for the period.</w:t>
      </w:r>
    </w:p>
    <w:p w:rsidR="00CB021A" w:rsidRPr="00CB021A" w:rsidRDefault="00CB021A" w:rsidP="00CB021A">
      <w:pPr>
        <w:numPr>
          <w:ilvl w:val="0"/>
          <w:numId w:val="45"/>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Review the information in Illustration 13A-18.</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14.</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asset turnover ratio</w:t>
      </w:r>
      <w:r w:rsidRPr="00CB021A">
        <w:rPr>
          <w:rFonts w:ascii="Arial" w:eastAsia="Times New Roman" w:hAnsi="Arial" w:cs="Times New Roman"/>
          <w:sz w:val="24"/>
          <w:szCs w:val="20"/>
        </w:rPr>
        <w:t xml:space="preserve"> measures how efficiently a company uses its assets to generate sales.</w:t>
      </w:r>
    </w:p>
    <w:p w:rsidR="00CB021A" w:rsidRPr="00CB021A" w:rsidRDefault="00CB021A" w:rsidP="00CB021A">
      <w:pPr>
        <w:numPr>
          <w:ilvl w:val="0"/>
          <w:numId w:val="46"/>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asset turnover ratio is the other factor that affects the return on assets ratio.</w:t>
      </w:r>
    </w:p>
    <w:p w:rsidR="00CB021A" w:rsidRPr="00CB021A" w:rsidRDefault="00CB021A" w:rsidP="00CB021A">
      <w:pPr>
        <w:numPr>
          <w:ilvl w:val="0"/>
          <w:numId w:val="46"/>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ratio is determined by dividing net sales by average total assets for the period.</w:t>
      </w:r>
    </w:p>
    <w:p w:rsidR="00CB021A" w:rsidRPr="00CB021A" w:rsidRDefault="00CB021A" w:rsidP="00CB021A">
      <w:pPr>
        <w:numPr>
          <w:ilvl w:val="0"/>
          <w:numId w:val="46"/>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resulting number shows the dollar sales produced by each dollar invested in assets.</w:t>
      </w:r>
    </w:p>
    <w:p w:rsidR="00CB021A" w:rsidRPr="00CB021A" w:rsidRDefault="00CB021A" w:rsidP="00CB021A">
      <w:pPr>
        <w:numPr>
          <w:ilvl w:val="0"/>
          <w:numId w:val="46"/>
        </w:numPr>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Review the information in Illustration 13A-19.</w:t>
      </w:r>
    </w:p>
    <w:p w:rsidR="00CB021A" w:rsidRPr="00CB021A" w:rsidRDefault="00CB021A" w:rsidP="00CB021A">
      <w:pPr>
        <w:tabs>
          <w:tab w:val="left" w:pos="1440"/>
          <w:tab w:val="left" w:pos="1710"/>
          <w:tab w:val="left" w:pos="4320"/>
          <w:tab w:val="left" w:pos="5400"/>
          <w:tab w:val="left" w:pos="6300"/>
          <w:tab w:val="left" w:pos="7560"/>
        </w:tabs>
        <w:spacing w:after="0" w:line="240" w:lineRule="auto"/>
        <w:rPr>
          <w:rFonts w:ascii="Arial" w:eastAsia="Times New Roman" w:hAnsi="Arial" w:cs="Times New Roman"/>
          <w:snapToGrid w:val="0"/>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15.</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gross profit rate</w:t>
      </w:r>
      <w:r w:rsidRPr="00CB021A">
        <w:rPr>
          <w:rFonts w:ascii="Arial" w:eastAsia="Times New Roman" w:hAnsi="Arial" w:cs="Times New Roman"/>
          <w:sz w:val="24"/>
          <w:szCs w:val="20"/>
        </w:rPr>
        <w:t xml:space="preserve"> indicates a company's ability to maintain an adequate selling price above its cost of goods sold.</w:t>
      </w:r>
    </w:p>
    <w:p w:rsidR="00CB021A" w:rsidRPr="00CB021A" w:rsidRDefault="00CB021A" w:rsidP="00CB021A">
      <w:pPr>
        <w:numPr>
          <w:ilvl w:val="0"/>
          <w:numId w:val="47"/>
        </w:numPr>
        <w:tabs>
          <w:tab w:val="left" w:pos="72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profit margin ratio is strongly influenced by the gross profit rate.</w:t>
      </w:r>
    </w:p>
    <w:p w:rsidR="00CB021A" w:rsidRPr="00CB021A" w:rsidRDefault="00CB021A" w:rsidP="00CB021A">
      <w:pPr>
        <w:numPr>
          <w:ilvl w:val="0"/>
          <w:numId w:val="47"/>
        </w:numPr>
        <w:tabs>
          <w:tab w:val="left" w:pos="72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gross profit rate is found by dividing gross profit (net sales less cost of goods sold) by net sales.</w:t>
      </w:r>
    </w:p>
    <w:p w:rsidR="00CB021A" w:rsidRPr="00CB021A" w:rsidRDefault="00CB021A" w:rsidP="00CB021A">
      <w:pPr>
        <w:numPr>
          <w:ilvl w:val="0"/>
          <w:numId w:val="47"/>
        </w:numPr>
        <w:tabs>
          <w:tab w:val="left" w:pos="720"/>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Review the information in Illustration 13A-21.</w:t>
      </w:r>
    </w:p>
    <w:p w:rsidR="00CB021A" w:rsidRPr="00CB021A" w:rsidRDefault="00CB021A" w:rsidP="00CB021A">
      <w:pPr>
        <w:tabs>
          <w:tab w:val="left" w:pos="1080"/>
        </w:tabs>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keepNext/>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16.</w:t>
      </w:r>
      <w:r w:rsidRPr="00CB021A">
        <w:rPr>
          <w:rFonts w:ascii="Arial" w:eastAsia="Times New Roman" w:hAnsi="Arial" w:cs="Times New Roman"/>
          <w:sz w:val="24"/>
          <w:szCs w:val="20"/>
        </w:rPr>
        <w:tab/>
      </w:r>
      <w:r w:rsidRPr="00CB021A">
        <w:rPr>
          <w:rFonts w:ascii="Arial" w:eastAsia="Times New Roman" w:hAnsi="Arial" w:cs="Times New Roman"/>
          <w:b/>
          <w:sz w:val="24"/>
          <w:szCs w:val="20"/>
        </w:rPr>
        <w:t>Earnings per share (EPS)</w:t>
      </w:r>
      <w:r w:rsidRPr="00CB021A">
        <w:rPr>
          <w:rFonts w:ascii="Arial" w:eastAsia="Times New Roman" w:hAnsi="Arial" w:cs="Times New Roman"/>
          <w:sz w:val="24"/>
          <w:szCs w:val="20"/>
        </w:rPr>
        <w:t xml:space="preserve"> </w:t>
      </w:r>
      <w:proofErr w:type="gramStart"/>
      <w:r w:rsidRPr="00CB021A">
        <w:rPr>
          <w:rFonts w:ascii="Arial" w:eastAsia="Times New Roman" w:hAnsi="Arial" w:cs="Times New Roman"/>
          <w:sz w:val="24"/>
          <w:szCs w:val="20"/>
        </w:rPr>
        <w:t>is</w:t>
      </w:r>
      <w:proofErr w:type="gramEnd"/>
      <w:r w:rsidRPr="00CB021A">
        <w:rPr>
          <w:rFonts w:ascii="Arial" w:eastAsia="Times New Roman" w:hAnsi="Arial" w:cs="Times New Roman"/>
          <w:sz w:val="24"/>
          <w:szCs w:val="20"/>
        </w:rPr>
        <w:t xml:space="preserve"> a measure of the net income earned on each share of common stock.</w:t>
      </w:r>
    </w:p>
    <w:p w:rsidR="00CB021A" w:rsidRPr="00CB021A" w:rsidRDefault="00CB021A" w:rsidP="00CB021A">
      <w:pPr>
        <w:numPr>
          <w:ilvl w:val="0"/>
          <w:numId w:val="48"/>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Expressing net income earned on a per share basis provides a useful perspective for determining profitability.</w:t>
      </w:r>
    </w:p>
    <w:p w:rsidR="00CB021A" w:rsidRPr="00CB021A" w:rsidRDefault="00CB021A" w:rsidP="00CB021A">
      <w:pPr>
        <w:numPr>
          <w:ilvl w:val="0"/>
          <w:numId w:val="48"/>
        </w:numPr>
        <w:tabs>
          <w:tab w:val="left" w:pos="1080"/>
        </w:tabs>
        <w:spacing w:after="0" w:line="240" w:lineRule="auto"/>
        <w:ind w:left="1080"/>
        <w:rPr>
          <w:rFonts w:ascii="Arial" w:eastAsia="Times New Roman" w:hAnsi="Arial" w:cs="Times New Roman"/>
          <w:sz w:val="24"/>
          <w:szCs w:val="20"/>
        </w:rPr>
      </w:pPr>
      <w:proofErr w:type="gramStart"/>
      <w:r w:rsidRPr="00CB021A">
        <w:rPr>
          <w:rFonts w:ascii="Arial" w:eastAsia="Times New Roman" w:hAnsi="Arial" w:cs="Times New Roman"/>
          <w:sz w:val="24"/>
          <w:szCs w:val="20"/>
        </w:rPr>
        <w:t>Earnings per share is</w:t>
      </w:r>
      <w:proofErr w:type="gramEnd"/>
      <w:r w:rsidRPr="00CB021A">
        <w:rPr>
          <w:rFonts w:ascii="Arial" w:eastAsia="Times New Roman" w:hAnsi="Arial" w:cs="Times New Roman"/>
          <w:sz w:val="24"/>
          <w:szCs w:val="20"/>
        </w:rPr>
        <w:t xml:space="preserve"> computed by dividing net income by the average number of common shares outstanding during the year.</w:t>
      </w:r>
    </w:p>
    <w:p w:rsidR="00CB021A" w:rsidRPr="00CB021A" w:rsidRDefault="00CB021A" w:rsidP="00CB021A">
      <w:pPr>
        <w:numPr>
          <w:ilvl w:val="0"/>
          <w:numId w:val="48"/>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 xml:space="preserve">When we use "net income per share" or "earnings per share," it refers to the amount of net income applicable to each share of </w:t>
      </w:r>
      <w:r w:rsidRPr="00CB021A">
        <w:rPr>
          <w:rFonts w:ascii="Arial" w:eastAsia="Times New Roman" w:hAnsi="Arial" w:cs="Times New Roman"/>
          <w:i/>
          <w:sz w:val="24"/>
          <w:szCs w:val="20"/>
        </w:rPr>
        <w:t>common stock</w:t>
      </w:r>
      <w:r w:rsidRPr="00CB021A">
        <w:rPr>
          <w:rFonts w:ascii="Arial" w:eastAsia="Times New Roman" w:hAnsi="Arial" w:cs="Times New Roman"/>
          <w:sz w:val="24"/>
          <w:szCs w:val="20"/>
        </w:rPr>
        <w:t>.</w:t>
      </w:r>
    </w:p>
    <w:p w:rsidR="00CB021A" w:rsidRPr="00CB021A" w:rsidRDefault="00CB021A" w:rsidP="00CB021A">
      <w:pPr>
        <w:numPr>
          <w:ilvl w:val="0"/>
          <w:numId w:val="48"/>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Review the information in Illustration 13A-22.</w:t>
      </w:r>
    </w:p>
    <w:p w:rsidR="00CB021A" w:rsidRPr="00CB021A" w:rsidRDefault="00CB021A" w:rsidP="00CB021A">
      <w:pPr>
        <w:tabs>
          <w:tab w:val="left" w:pos="720"/>
          <w:tab w:val="left" w:pos="7920"/>
        </w:tabs>
        <w:spacing w:after="0" w:line="240" w:lineRule="auto"/>
        <w:rPr>
          <w:rFonts w:ascii="Arial" w:eastAsia="Times New Roman" w:hAnsi="Arial" w:cs="Times New Roman"/>
          <w:sz w:val="24"/>
          <w:szCs w:val="20"/>
        </w:rPr>
      </w:pPr>
    </w:p>
    <w:p w:rsidR="00CB021A" w:rsidRPr="00CB021A" w:rsidRDefault="00CB021A" w:rsidP="00CB021A">
      <w:pPr>
        <w:tabs>
          <w:tab w:val="left" w:pos="720"/>
          <w:tab w:val="left" w:pos="7920"/>
        </w:tabs>
        <w:spacing w:after="0" w:line="240" w:lineRule="auto"/>
        <w:rPr>
          <w:rFonts w:ascii="Arial" w:eastAsia="Times New Roman" w:hAnsi="Arial" w:cs="Times New Roman"/>
          <w:sz w:val="24"/>
          <w:szCs w:val="20"/>
        </w:rPr>
      </w:pPr>
    </w:p>
    <w:p w:rsidR="00CB021A" w:rsidRPr="00CB021A" w:rsidRDefault="00CB021A" w:rsidP="00CB021A">
      <w:pPr>
        <w:tabs>
          <w:tab w:val="left" w:pos="720"/>
          <w:tab w:val="left" w:pos="792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17.</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price-earnings (P-E)</w:t>
      </w:r>
      <w:r w:rsidRPr="00CB021A">
        <w:rPr>
          <w:rFonts w:ascii="Arial" w:eastAsia="Times New Roman" w:hAnsi="Arial" w:cs="Times New Roman"/>
          <w:sz w:val="24"/>
          <w:szCs w:val="20"/>
        </w:rPr>
        <w:t xml:space="preserve"> </w:t>
      </w:r>
      <w:r w:rsidRPr="00CB021A">
        <w:rPr>
          <w:rFonts w:ascii="Arial" w:eastAsia="Times New Roman" w:hAnsi="Arial" w:cs="Times New Roman"/>
          <w:b/>
          <w:sz w:val="24"/>
          <w:szCs w:val="20"/>
        </w:rPr>
        <w:t>ratio</w:t>
      </w:r>
      <w:r w:rsidRPr="00CB021A">
        <w:rPr>
          <w:rFonts w:ascii="Arial" w:eastAsia="Times New Roman" w:hAnsi="Arial" w:cs="Times New Roman"/>
          <w:sz w:val="24"/>
          <w:szCs w:val="20"/>
        </w:rPr>
        <w:t xml:space="preserve"> measures the ratio of the market price of each share of common stock to the earnings per share.</w:t>
      </w:r>
    </w:p>
    <w:p w:rsidR="00CB021A" w:rsidRPr="00CB021A" w:rsidRDefault="00CB021A" w:rsidP="00CB021A">
      <w:pPr>
        <w:numPr>
          <w:ilvl w:val="0"/>
          <w:numId w:val="49"/>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price-earnings ratio is a reflection of investors' assessments of a company's future earnings.</w:t>
      </w:r>
    </w:p>
    <w:p w:rsidR="00CB021A" w:rsidRPr="00CB021A" w:rsidRDefault="00CB021A" w:rsidP="00CB021A">
      <w:pPr>
        <w:numPr>
          <w:ilvl w:val="0"/>
          <w:numId w:val="49"/>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ratio is computed by dividing the market price per share of the stock by earnings per share.</w:t>
      </w:r>
    </w:p>
    <w:p w:rsidR="00CB021A" w:rsidRPr="00CB021A" w:rsidRDefault="00CB021A" w:rsidP="00CB021A">
      <w:pPr>
        <w:numPr>
          <w:ilvl w:val="0"/>
          <w:numId w:val="49"/>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Review the information in Illustration 13A-23.</w:t>
      </w: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spacing w:after="0" w:line="240" w:lineRule="auto"/>
        <w:rPr>
          <w:rFonts w:ascii="Arial" w:eastAsia="Times New Roman" w:hAnsi="Arial" w:cs="Times New Roman"/>
          <w:sz w:val="24"/>
          <w:szCs w:val="20"/>
        </w:rPr>
      </w:pPr>
    </w:p>
    <w:p w:rsidR="00CB021A" w:rsidRPr="00CB021A" w:rsidRDefault="00CB021A" w:rsidP="00CB021A">
      <w:pPr>
        <w:tabs>
          <w:tab w:val="left" w:pos="-1440"/>
        </w:tabs>
        <w:spacing w:after="0" w:line="240" w:lineRule="auto"/>
        <w:rPr>
          <w:rFonts w:ascii="Arial" w:eastAsia="Times New Roman" w:hAnsi="Arial" w:cs="Times New Roman"/>
          <w:sz w:val="24"/>
          <w:szCs w:val="20"/>
        </w:rPr>
      </w:pPr>
      <w:r w:rsidRPr="00CB021A">
        <w:rPr>
          <w:rFonts w:ascii="Arial" w:eastAsia="Times New Roman" w:hAnsi="Arial" w:cs="Times New Roman"/>
          <w:sz w:val="24"/>
          <w:szCs w:val="20"/>
        </w:rPr>
        <w:t>18.</w:t>
      </w:r>
      <w:r w:rsidRPr="00CB021A">
        <w:rPr>
          <w:rFonts w:ascii="Arial" w:eastAsia="Times New Roman" w:hAnsi="Arial" w:cs="Times New Roman"/>
          <w:sz w:val="24"/>
          <w:szCs w:val="20"/>
        </w:rPr>
        <w:tab/>
        <w:t xml:space="preserve">The </w:t>
      </w:r>
      <w:r w:rsidRPr="00CB021A">
        <w:rPr>
          <w:rFonts w:ascii="Arial" w:eastAsia="Times New Roman" w:hAnsi="Arial" w:cs="Times New Roman"/>
          <w:b/>
          <w:sz w:val="24"/>
          <w:szCs w:val="20"/>
        </w:rPr>
        <w:t>payout ratio</w:t>
      </w:r>
      <w:r w:rsidRPr="00CB021A">
        <w:rPr>
          <w:rFonts w:ascii="Arial" w:eastAsia="Times New Roman" w:hAnsi="Arial" w:cs="Times New Roman"/>
          <w:sz w:val="24"/>
          <w:szCs w:val="20"/>
        </w:rPr>
        <w:t xml:space="preserve"> measures the percentage of earnings distributed in the form of cash dividends.</w:t>
      </w:r>
    </w:p>
    <w:p w:rsidR="00CB021A" w:rsidRPr="00CB021A" w:rsidRDefault="00CB021A" w:rsidP="00CB021A">
      <w:pPr>
        <w:numPr>
          <w:ilvl w:val="0"/>
          <w:numId w:val="50"/>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Companies that have high growth rates are characterized by low payout ratios because they reinvest most of their net income in the business.</w:t>
      </w:r>
    </w:p>
    <w:p w:rsidR="00CB021A" w:rsidRPr="00CB021A" w:rsidRDefault="00CB021A" w:rsidP="00CB021A">
      <w:pPr>
        <w:numPr>
          <w:ilvl w:val="0"/>
          <w:numId w:val="50"/>
        </w:numPr>
        <w:tabs>
          <w:tab w:val="left" w:pos="1080"/>
        </w:tabs>
        <w:spacing w:after="0" w:line="240" w:lineRule="auto"/>
        <w:ind w:left="1080"/>
        <w:rPr>
          <w:rFonts w:ascii="Arial" w:eastAsia="Times New Roman" w:hAnsi="Arial" w:cs="Times New Roman"/>
          <w:sz w:val="24"/>
          <w:szCs w:val="20"/>
        </w:rPr>
      </w:pPr>
      <w:r w:rsidRPr="00CB021A">
        <w:rPr>
          <w:rFonts w:ascii="Arial" w:eastAsia="Times New Roman" w:hAnsi="Arial" w:cs="Times New Roman"/>
          <w:sz w:val="24"/>
          <w:szCs w:val="20"/>
        </w:rPr>
        <w:t>The payout ratio is computed by dividing cash dividends declared on common stock by net income.</w:t>
      </w:r>
    </w:p>
    <w:p w:rsidR="000F4414" w:rsidRDefault="00CB021A" w:rsidP="00CB021A">
      <w:r w:rsidRPr="00CB021A">
        <w:rPr>
          <w:rFonts w:ascii="Arial" w:eastAsia="Times New Roman" w:hAnsi="Arial" w:cs="Times New Roman"/>
          <w:sz w:val="24"/>
          <w:szCs w:val="20"/>
        </w:rPr>
        <w:t>Review the information in Illustration 13A-24.</w:t>
      </w:r>
    </w:p>
    <w:sectPr w:rsidR="000F4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03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6FC22B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nsid w:val="074A6487"/>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
    <w:nsid w:val="09DA10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BF619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C0A0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0C595F2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nsid w:val="0C5C4AB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nsid w:val="0EC9787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nsid w:val="13FB3A2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nsid w:val="1B4431ED"/>
    <w:multiLevelType w:val="singleLevel"/>
    <w:tmpl w:val="03807E3A"/>
    <w:lvl w:ilvl="0">
      <w:start w:val="1"/>
      <w:numFmt w:val="bullet"/>
      <w:lvlText w:val=""/>
      <w:lvlJc w:val="left"/>
      <w:pPr>
        <w:tabs>
          <w:tab w:val="num" w:pos="360"/>
        </w:tabs>
        <w:ind w:left="360" w:hanging="360"/>
      </w:pPr>
      <w:rPr>
        <w:rFonts w:ascii="Wingdings" w:hAnsi="Wingdings" w:hint="default"/>
      </w:rPr>
    </w:lvl>
  </w:abstractNum>
  <w:abstractNum w:abstractNumId="11">
    <w:nsid w:val="220668D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nsid w:val="227817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23EC5B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245C060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5">
    <w:nsid w:val="24AC12A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6">
    <w:nsid w:val="2587616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nsid w:val="2652473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8">
    <w:nsid w:val="26DE44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29CB7A5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0">
    <w:nsid w:val="2E2B66B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1">
    <w:nsid w:val="2E3449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395121F9"/>
    <w:multiLevelType w:val="hybridMultilevel"/>
    <w:tmpl w:val="EC38AB1A"/>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nsid w:val="3B84649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4">
    <w:nsid w:val="404E3607"/>
    <w:multiLevelType w:val="singleLevel"/>
    <w:tmpl w:val="0409000F"/>
    <w:lvl w:ilvl="0">
      <w:start w:val="1"/>
      <w:numFmt w:val="decimal"/>
      <w:lvlText w:val="%1."/>
      <w:lvlJc w:val="left"/>
      <w:pPr>
        <w:tabs>
          <w:tab w:val="num" w:pos="360"/>
        </w:tabs>
        <w:ind w:left="360" w:hanging="360"/>
      </w:pPr>
    </w:lvl>
  </w:abstractNum>
  <w:abstractNum w:abstractNumId="25">
    <w:nsid w:val="41FC168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nsid w:val="422705C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7">
    <w:nsid w:val="47235B9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nsid w:val="486928D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9">
    <w:nsid w:val="488C68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4A195A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4B7804F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2">
    <w:nsid w:val="4BE14D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4EC821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nsid w:val="50841F4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5">
    <w:nsid w:val="51FE4F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54FA49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5761724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8">
    <w:nsid w:val="5B8C479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9">
    <w:nsid w:val="6067299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0">
    <w:nsid w:val="60FE438B"/>
    <w:multiLevelType w:val="singleLevel"/>
    <w:tmpl w:val="0409000F"/>
    <w:lvl w:ilvl="0">
      <w:start w:val="1"/>
      <w:numFmt w:val="decimal"/>
      <w:lvlText w:val="%1."/>
      <w:lvlJc w:val="left"/>
      <w:pPr>
        <w:tabs>
          <w:tab w:val="num" w:pos="360"/>
        </w:tabs>
        <w:ind w:left="360" w:hanging="360"/>
      </w:pPr>
    </w:lvl>
  </w:abstractNum>
  <w:abstractNum w:abstractNumId="41">
    <w:nsid w:val="62DD78CC"/>
    <w:multiLevelType w:val="singleLevel"/>
    <w:tmpl w:val="0409000F"/>
    <w:lvl w:ilvl="0">
      <w:start w:val="1"/>
      <w:numFmt w:val="decimal"/>
      <w:lvlText w:val="%1."/>
      <w:lvlJc w:val="left"/>
      <w:pPr>
        <w:tabs>
          <w:tab w:val="num" w:pos="360"/>
        </w:tabs>
        <w:ind w:left="360" w:hanging="360"/>
      </w:pPr>
    </w:lvl>
  </w:abstractNum>
  <w:abstractNum w:abstractNumId="42">
    <w:nsid w:val="6338352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3">
    <w:nsid w:val="64D5161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4">
    <w:nsid w:val="658851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nsid w:val="673232A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6">
    <w:nsid w:val="67A27D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nsid w:val="695534E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8">
    <w:nsid w:val="6D180C7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9">
    <w:nsid w:val="6F5975E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0">
    <w:nsid w:val="701C422D"/>
    <w:multiLevelType w:val="multilevel"/>
    <w:tmpl w:val="29A02E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nsid w:val="746E74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nsid w:val="7FD7204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4"/>
  </w:num>
  <w:num w:numId="2">
    <w:abstractNumId w:val="17"/>
  </w:num>
  <w:num w:numId="3">
    <w:abstractNumId w:val="41"/>
  </w:num>
  <w:num w:numId="4">
    <w:abstractNumId w:val="23"/>
  </w:num>
  <w:num w:numId="5">
    <w:abstractNumId w:val="15"/>
  </w:num>
  <w:num w:numId="6">
    <w:abstractNumId w:val="11"/>
  </w:num>
  <w:num w:numId="7">
    <w:abstractNumId w:val="43"/>
  </w:num>
  <w:num w:numId="8">
    <w:abstractNumId w:val="16"/>
  </w:num>
  <w:num w:numId="9">
    <w:abstractNumId w:val="26"/>
  </w:num>
  <w:num w:numId="10">
    <w:abstractNumId w:val="8"/>
  </w:num>
  <w:num w:numId="11">
    <w:abstractNumId w:val="14"/>
  </w:num>
  <w:num w:numId="12">
    <w:abstractNumId w:val="37"/>
  </w:num>
  <w:num w:numId="13">
    <w:abstractNumId w:val="49"/>
  </w:num>
  <w:num w:numId="14">
    <w:abstractNumId w:val="13"/>
  </w:num>
  <w:num w:numId="15">
    <w:abstractNumId w:val="42"/>
  </w:num>
  <w:num w:numId="16">
    <w:abstractNumId w:val="45"/>
  </w:num>
  <w:num w:numId="17">
    <w:abstractNumId w:val="31"/>
  </w:num>
  <w:num w:numId="18">
    <w:abstractNumId w:val="6"/>
  </w:num>
  <w:num w:numId="19">
    <w:abstractNumId w:val="28"/>
  </w:num>
  <w:num w:numId="20">
    <w:abstractNumId w:val="2"/>
  </w:num>
  <w:num w:numId="21">
    <w:abstractNumId w:val="48"/>
  </w:num>
  <w:num w:numId="22">
    <w:abstractNumId w:val="39"/>
  </w:num>
  <w:num w:numId="23">
    <w:abstractNumId w:val="9"/>
  </w:num>
  <w:num w:numId="24">
    <w:abstractNumId w:val="27"/>
  </w:num>
  <w:num w:numId="25">
    <w:abstractNumId w:val="24"/>
  </w:num>
  <w:num w:numId="26">
    <w:abstractNumId w:val="19"/>
  </w:num>
  <w:num w:numId="27">
    <w:abstractNumId w:val="40"/>
  </w:num>
  <w:num w:numId="28">
    <w:abstractNumId w:val="20"/>
  </w:num>
  <w:num w:numId="29">
    <w:abstractNumId w:val="7"/>
  </w:num>
  <w:num w:numId="30">
    <w:abstractNumId w:val="0"/>
  </w:num>
  <w:num w:numId="31">
    <w:abstractNumId w:val="52"/>
  </w:num>
  <w:num w:numId="32">
    <w:abstractNumId w:val="12"/>
  </w:num>
  <w:num w:numId="33">
    <w:abstractNumId w:val="32"/>
  </w:num>
  <w:num w:numId="34">
    <w:abstractNumId w:val="21"/>
  </w:num>
  <w:num w:numId="35">
    <w:abstractNumId w:val="1"/>
  </w:num>
  <w:num w:numId="36">
    <w:abstractNumId w:val="38"/>
  </w:num>
  <w:num w:numId="37">
    <w:abstractNumId w:val="36"/>
  </w:num>
  <w:num w:numId="38">
    <w:abstractNumId w:val="33"/>
  </w:num>
  <w:num w:numId="39">
    <w:abstractNumId w:val="46"/>
  </w:num>
  <w:num w:numId="40">
    <w:abstractNumId w:val="5"/>
  </w:num>
  <w:num w:numId="41">
    <w:abstractNumId w:val="25"/>
  </w:num>
  <w:num w:numId="42">
    <w:abstractNumId w:val="47"/>
  </w:num>
  <w:num w:numId="43">
    <w:abstractNumId w:val="35"/>
  </w:num>
  <w:num w:numId="44">
    <w:abstractNumId w:val="30"/>
  </w:num>
  <w:num w:numId="45">
    <w:abstractNumId w:val="51"/>
  </w:num>
  <w:num w:numId="46">
    <w:abstractNumId w:val="18"/>
  </w:num>
  <w:num w:numId="47">
    <w:abstractNumId w:val="44"/>
  </w:num>
  <w:num w:numId="48">
    <w:abstractNumId w:val="3"/>
  </w:num>
  <w:num w:numId="49">
    <w:abstractNumId w:val="29"/>
  </w:num>
  <w:num w:numId="50">
    <w:abstractNumId w:val="4"/>
  </w:num>
  <w:num w:numId="51">
    <w:abstractNumId w:val="10"/>
  </w:num>
  <w:num w:numId="52">
    <w:abstractNumId w:val="50"/>
  </w:num>
  <w:num w:numId="53">
    <w:abstractNumId w:val="2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21A"/>
    <w:rsid w:val="000F4414"/>
    <w:rsid w:val="00CB0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B021A"/>
    <w:pPr>
      <w:keepNext/>
      <w:widowControl w:val="0"/>
      <w:spacing w:after="0" w:line="240" w:lineRule="auto"/>
      <w:outlineLvl w:val="0"/>
    </w:pPr>
    <w:rPr>
      <w:rFonts w:ascii="Times New Roman" w:eastAsia="Times New Roman" w:hAnsi="Times New Roman" w:cs="Times New Roman"/>
      <w:b/>
      <w:snapToGrid w:val="0"/>
      <w:sz w:val="26"/>
      <w:szCs w:val="20"/>
    </w:rPr>
  </w:style>
  <w:style w:type="paragraph" w:styleId="Heading2">
    <w:name w:val="heading 2"/>
    <w:basedOn w:val="Normal"/>
    <w:next w:val="Normal"/>
    <w:link w:val="Heading2Char"/>
    <w:qFormat/>
    <w:rsid w:val="00CB021A"/>
    <w:pPr>
      <w:keepNext/>
      <w:widowControl w:val="0"/>
      <w:spacing w:after="0" w:line="240" w:lineRule="auto"/>
      <w:ind w:left="720"/>
      <w:outlineLvl w:val="1"/>
    </w:pPr>
    <w:rPr>
      <w:rFonts w:ascii="Times New Roman" w:eastAsia="Times New Roman" w:hAnsi="Times New Roman" w:cs="Times New Roman"/>
      <w:b/>
      <w:snapToGrid w:val="0"/>
      <w:szCs w:val="20"/>
    </w:rPr>
  </w:style>
  <w:style w:type="paragraph" w:styleId="Heading5">
    <w:name w:val="heading 5"/>
    <w:basedOn w:val="Normal"/>
    <w:next w:val="Normal"/>
    <w:link w:val="Heading5Char"/>
    <w:qFormat/>
    <w:rsid w:val="00CB021A"/>
    <w:pPr>
      <w:keepNext/>
      <w:widowControl w:val="0"/>
      <w:tabs>
        <w:tab w:val="left" w:pos="0"/>
        <w:tab w:val="num" w:pos="360"/>
        <w:tab w:val="center" w:pos="4680"/>
      </w:tabs>
      <w:spacing w:after="0" w:line="240" w:lineRule="auto"/>
      <w:jc w:val="center"/>
      <w:outlineLvl w:val="4"/>
    </w:pPr>
    <w:rPr>
      <w:rFonts w:ascii="Times New Roman" w:eastAsia="Times New Roman" w:hAnsi="Times New Roman" w:cs="Times New Roman"/>
      <w:b/>
      <w:snapToGrid w:val="0"/>
      <w:sz w:val="30"/>
      <w:szCs w:val="20"/>
    </w:rPr>
  </w:style>
  <w:style w:type="paragraph" w:styleId="Heading6">
    <w:name w:val="heading 6"/>
    <w:basedOn w:val="Normal"/>
    <w:next w:val="Normal"/>
    <w:link w:val="Heading6Char"/>
    <w:qFormat/>
    <w:rsid w:val="00CB021A"/>
    <w:pPr>
      <w:keepNext/>
      <w:widowControl w:val="0"/>
      <w:spacing w:after="0" w:line="480" w:lineRule="auto"/>
      <w:jc w:val="both"/>
      <w:outlineLvl w:val="5"/>
    </w:pPr>
    <w:rPr>
      <w:rFonts w:ascii="Times New Roman" w:eastAsia="Times New Roman" w:hAnsi="Times New Roman" w:cs="Times New Roman"/>
      <w:b/>
      <w:snapToGrid w:val="0"/>
      <w:szCs w:val="20"/>
    </w:rPr>
  </w:style>
  <w:style w:type="paragraph" w:styleId="Heading7">
    <w:name w:val="heading 7"/>
    <w:basedOn w:val="Normal"/>
    <w:next w:val="Normal"/>
    <w:link w:val="Heading7Char"/>
    <w:qFormat/>
    <w:rsid w:val="00CB021A"/>
    <w:pPr>
      <w:keepNext/>
      <w:widowControl w:val="0"/>
      <w:spacing w:after="0" w:line="240" w:lineRule="auto"/>
      <w:jc w:val="both"/>
      <w:outlineLvl w:val="6"/>
    </w:pPr>
    <w:rPr>
      <w:rFonts w:ascii="Times New Roman" w:eastAsia="Times New Roman" w:hAnsi="Times New Roman" w:cs="Times New Roman"/>
      <w:b/>
      <w:snapToGrid w:val="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021A"/>
    <w:rPr>
      <w:rFonts w:ascii="Times New Roman" w:eastAsia="Times New Roman" w:hAnsi="Times New Roman" w:cs="Times New Roman"/>
      <w:b/>
      <w:snapToGrid w:val="0"/>
      <w:sz w:val="26"/>
      <w:szCs w:val="20"/>
    </w:rPr>
  </w:style>
  <w:style w:type="character" w:customStyle="1" w:styleId="Heading2Char">
    <w:name w:val="Heading 2 Char"/>
    <w:basedOn w:val="DefaultParagraphFont"/>
    <w:link w:val="Heading2"/>
    <w:rsid w:val="00CB021A"/>
    <w:rPr>
      <w:rFonts w:ascii="Times New Roman" w:eastAsia="Times New Roman" w:hAnsi="Times New Roman" w:cs="Times New Roman"/>
      <w:b/>
      <w:snapToGrid w:val="0"/>
      <w:szCs w:val="20"/>
    </w:rPr>
  </w:style>
  <w:style w:type="character" w:customStyle="1" w:styleId="Heading5Char">
    <w:name w:val="Heading 5 Char"/>
    <w:basedOn w:val="DefaultParagraphFont"/>
    <w:link w:val="Heading5"/>
    <w:rsid w:val="00CB021A"/>
    <w:rPr>
      <w:rFonts w:ascii="Times New Roman" w:eastAsia="Times New Roman" w:hAnsi="Times New Roman" w:cs="Times New Roman"/>
      <w:b/>
      <w:snapToGrid w:val="0"/>
      <w:sz w:val="30"/>
      <w:szCs w:val="20"/>
    </w:rPr>
  </w:style>
  <w:style w:type="character" w:customStyle="1" w:styleId="Heading6Char">
    <w:name w:val="Heading 6 Char"/>
    <w:basedOn w:val="DefaultParagraphFont"/>
    <w:link w:val="Heading6"/>
    <w:rsid w:val="00CB021A"/>
    <w:rPr>
      <w:rFonts w:ascii="Times New Roman" w:eastAsia="Times New Roman" w:hAnsi="Times New Roman" w:cs="Times New Roman"/>
      <w:b/>
      <w:snapToGrid w:val="0"/>
      <w:szCs w:val="20"/>
    </w:rPr>
  </w:style>
  <w:style w:type="character" w:customStyle="1" w:styleId="Heading7Char">
    <w:name w:val="Heading 7 Char"/>
    <w:basedOn w:val="DefaultParagraphFont"/>
    <w:link w:val="Heading7"/>
    <w:rsid w:val="00CB021A"/>
    <w:rPr>
      <w:rFonts w:ascii="Times New Roman" w:eastAsia="Times New Roman" w:hAnsi="Times New Roman" w:cs="Times New Roman"/>
      <w:b/>
      <w:snapToGrid w:val="0"/>
      <w:sz w:val="26"/>
      <w:szCs w:val="20"/>
    </w:rPr>
  </w:style>
  <w:style w:type="numbering" w:customStyle="1" w:styleId="NoList1">
    <w:name w:val="No List1"/>
    <w:next w:val="NoList"/>
    <w:uiPriority w:val="99"/>
    <w:semiHidden/>
    <w:unhideWhenUsed/>
    <w:rsid w:val="00CB021A"/>
  </w:style>
  <w:style w:type="paragraph" w:styleId="BodyTextIndent">
    <w:name w:val="Body Text Indent"/>
    <w:basedOn w:val="Normal"/>
    <w:link w:val="BodyTextIndentChar"/>
    <w:semiHidden/>
    <w:rsid w:val="00CB021A"/>
    <w:pPr>
      <w:widowControl w:val="0"/>
      <w:spacing w:after="0" w:line="240" w:lineRule="auto"/>
      <w:ind w:left="2250" w:hanging="2250"/>
    </w:pPr>
    <w:rPr>
      <w:rFonts w:ascii="Times New Roman" w:eastAsia="Times New Roman" w:hAnsi="Times New Roman" w:cs="Times New Roman"/>
      <w:b/>
      <w:snapToGrid w:val="0"/>
      <w:sz w:val="26"/>
      <w:szCs w:val="20"/>
    </w:rPr>
  </w:style>
  <w:style w:type="character" w:customStyle="1" w:styleId="BodyTextIndentChar">
    <w:name w:val="Body Text Indent Char"/>
    <w:basedOn w:val="DefaultParagraphFont"/>
    <w:link w:val="BodyTextIndent"/>
    <w:semiHidden/>
    <w:rsid w:val="00CB021A"/>
    <w:rPr>
      <w:rFonts w:ascii="Times New Roman" w:eastAsia="Times New Roman" w:hAnsi="Times New Roman" w:cs="Times New Roman"/>
      <w:b/>
      <w:snapToGrid w:val="0"/>
      <w:sz w:val="26"/>
      <w:szCs w:val="20"/>
    </w:rPr>
  </w:style>
  <w:style w:type="paragraph" w:styleId="BodyTextIndent3">
    <w:name w:val="Body Text Indent 3"/>
    <w:basedOn w:val="Normal"/>
    <w:link w:val="BodyTextIndent3Char"/>
    <w:semiHidden/>
    <w:rsid w:val="00CB021A"/>
    <w:pPr>
      <w:widowControl w:val="0"/>
      <w:tabs>
        <w:tab w:val="left" w:pos="-1440"/>
      </w:tabs>
      <w:spacing w:after="0" w:line="240" w:lineRule="auto"/>
      <w:ind w:left="1440"/>
    </w:pPr>
    <w:rPr>
      <w:rFonts w:ascii="Times New Roman" w:eastAsia="Times New Roman" w:hAnsi="Times New Roman" w:cs="Times New Roman"/>
      <w:snapToGrid w:val="0"/>
      <w:szCs w:val="20"/>
    </w:rPr>
  </w:style>
  <w:style w:type="character" w:customStyle="1" w:styleId="BodyTextIndent3Char">
    <w:name w:val="Body Text Indent 3 Char"/>
    <w:basedOn w:val="DefaultParagraphFont"/>
    <w:link w:val="BodyTextIndent3"/>
    <w:semiHidden/>
    <w:rsid w:val="00CB021A"/>
    <w:rPr>
      <w:rFonts w:ascii="Times New Roman" w:eastAsia="Times New Roman" w:hAnsi="Times New Roman" w:cs="Times New Roman"/>
      <w:snapToGrid w:val="0"/>
      <w:szCs w:val="20"/>
    </w:rPr>
  </w:style>
  <w:style w:type="paragraph" w:styleId="EndnoteText">
    <w:name w:val="endnote text"/>
    <w:basedOn w:val="Normal"/>
    <w:link w:val="EndnoteTextChar"/>
    <w:semiHidden/>
    <w:rsid w:val="00CB021A"/>
    <w:pPr>
      <w:widowControl w:val="0"/>
      <w:spacing w:after="0" w:line="240" w:lineRule="auto"/>
    </w:pPr>
    <w:rPr>
      <w:rFonts w:ascii="Times New Roman" w:eastAsia="Times New Roman" w:hAnsi="Times New Roman" w:cs="Times New Roman"/>
      <w:snapToGrid w:val="0"/>
      <w:szCs w:val="20"/>
    </w:rPr>
  </w:style>
  <w:style w:type="character" w:customStyle="1" w:styleId="EndnoteTextChar">
    <w:name w:val="Endnote Text Char"/>
    <w:basedOn w:val="DefaultParagraphFont"/>
    <w:link w:val="EndnoteText"/>
    <w:semiHidden/>
    <w:rsid w:val="00CB021A"/>
    <w:rPr>
      <w:rFonts w:ascii="Times New Roman" w:eastAsia="Times New Roman" w:hAnsi="Times New Roman" w:cs="Times New Roman"/>
      <w:snapToGrid w:val="0"/>
      <w:szCs w:val="20"/>
    </w:rPr>
  </w:style>
  <w:style w:type="paragraph" w:styleId="BodyText3">
    <w:name w:val="Body Text 3"/>
    <w:basedOn w:val="Normal"/>
    <w:link w:val="BodyText3Char"/>
    <w:semiHidden/>
    <w:rsid w:val="00CB021A"/>
    <w:pPr>
      <w:widowControl w:val="0"/>
      <w:spacing w:after="0" w:line="240" w:lineRule="auto"/>
    </w:pPr>
    <w:rPr>
      <w:rFonts w:ascii="Times New Roman" w:eastAsia="Times New Roman" w:hAnsi="Times New Roman" w:cs="Times New Roman"/>
      <w:b/>
      <w:snapToGrid w:val="0"/>
      <w:sz w:val="26"/>
      <w:szCs w:val="20"/>
    </w:rPr>
  </w:style>
  <w:style w:type="character" w:customStyle="1" w:styleId="BodyText3Char">
    <w:name w:val="Body Text 3 Char"/>
    <w:basedOn w:val="DefaultParagraphFont"/>
    <w:link w:val="BodyText3"/>
    <w:semiHidden/>
    <w:rsid w:val="00CB021A"/>
    <w:rPr>
      <w:rFonts w:ascii="Times New Roman" w:eastAsia="Times New Roman" w:hAnsi="Times New Roman" w:cs="Times New Roman"/>
      <w:b/>
      <w:snapToGrid w:val="0"/>
      <w:sz w:val="26"/>
      <w:szCs w:val="20"/>
    </w:rPr>
  </w:style>
  <w:style w:type="paragraph" w:styleId="BodyText">
    <w:name w:val="Body Text"/>
    <w:basedOn w:val="Normal"/>
    <w:link w:val="BodyTextChar"/>
    <w:semiHidden/>
    <w:rsid w:val="00CB021A"/>
    <w:pPr>
      <w:widowControl w:val="0"/>
      <w:pBdr>
        <w:top w:val="dashDotStroked" w:sz="24" w:space="1" w:color="auto"/>
        <w:left w:val="dashDotStroked" w:sz="24" w:space="4" w:color="auto"/>
        <w:bottom w:val="dashDotStroked" w:sz="24" w:space="1" w:color="auto"/>
        <w:right w:val="dashDotStroked" w:sz="24" w:space="4" w:color="auto"/>
      </w:pBdr>
      <w:shd w:val="pct5" w:color="auto" w:fill="FFFFFF"/>
      <w:spacing w:after="0" w:line="240" w:lineRule="auto"/>
    </w:pPr>
    <w:rPr>
      <w:rFonts w:ascii="Times New Roman" w:eastAsia="Times New Roman" w:hAnsi="Times New Roman" w:cs="Times New Roman"/>
      <w:b/>
      <w:snapToGrid w:val="0"/>
      <w:szCs w:val="20"/>
    </w:rPr>
  </w:style>
  <w:style w:type="character" w:customStyle="1" w:styleId="BodyTextChar">
    <w:name w:val="Body Text Char"/>
    <w:basedOn w:val="DefaultParagraphFont"/>
    <w:link w:val="BodyText"/>
    <w:semiHidden/>
    <w:rsid w:val="00CB021A"/>
    <w:rPr>
      <w:rFonts w:ascii="Times New Roman" w:eastAsia="Times New Roman" w:hAnsi="Times New Roman" w:cs="Times New Roman"/>
      <w:b/>
      <w:snapToGrid w:val="0"/>
      <w:szCs w:val="20"/>
      <w:shd w:val="pct5" w:color="auto" w:fill="FFFFFF"/>
    </w:rPr>
  </w:style>
  <w:style w:type="paragraph" w:styleId="BodyTextIndent2">
    <w:name w:val="Body Text Indent 2"/>
    <w:basedOn w:val="Normal"/>
    <w:link w:val="BodyTextIndent2Char"/>
    <w:semiHidden/>
    <w:rsid w:val="00CB021A"/>
    <w:pPr>
      <w:widowControl w:val="0"/>
      <w:spacing w:after="0" w:line="240" w:lineRule="auto"/>
      <w:ind w:left="2160" w:hanging="2160"/>
    </w:pPr>
    <w:rPr>
      <w:rFonts w:ascii="Times New Roman" w:eastAsia="Times New Roman" w:hAnsi="Times New Roman" w:cs="Times New Roman"/>
      <w:b/>
      <w:snapToGrid w:val="0"/>
      <w:sz w:val="26"/>
      <w:szCs w:val="20"/>
    </w:rPr>
  </w:style>
  <w:style w:type="character" w:customStyle="1" w:styleId="BodyTextIndent2Char">
    <w:name w:val="Body Text Indent 2 Char"/>
    <w:basedOn w:val="DefaultParagraphFont"/>
    <w:link w:val="BodyTextIndent2"/>
    <w:semiHidden/>
    <w:rsid w:val="00CB021A"/>
    <w:rPr>
      <w:rFonts w:ascii="Times New Roman" w:eastAsia="Times New Roman" w:hAnsi="Times New Roman" w:cs="Times New Roman"/>
      <w:b/>
      <w:snapToGrid w:val="0"/>
      <w:sz w:val="26"/>
      <w:szCs w:val="20"/>
    </w:rPr>
  </w:style>
  <w:style w:type="character" w:styleId="Hyperlink">
    <w:name w:val="Hyperlink"/>
    <w:basedOn w:val="DefaultParagraphFont"/>
    <w:semiHidden/>
    <w:rsid w:val="00CB021A"/>
    <w:rPr>
      <w:color w:val="0000FF"/>
      <w:u w:val="single"/>
    </w:rPr>
  </w:style>
  <w:style w:type="character" w:styleId="FollowedHyperlink">
    <w:name w:val="FollowedHyperlink"/>
    <w:basedOn w:val="DefaultParagraphFont"/>
    <w:semiHidden/>
    <w:rsid w:val="00CB021A"/>
    <w:rPr>
      <w:color w:val="800080"/>
      <w:u w:val="single"/>
    </w:rPr>
  </w:style>
  <w:style w:type="table" w:styleId="TableGrid">
    <w:name w:val="Table Grid"/>
    <w:basedOn w:val="TableNormal"/>
    <w:uiPriority w:val="59"/>
    <w:rsid w:val="00CB021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semiHidden/>
    <w:rsid w:val="00CB021A"/>
    <w:pPr>
      <w:tabs>
        <w:tab w:val="center" w:pos="4320"/>
        <w:tab w:val="right" w:pos="8640"/>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semiHidden/>
    <w:rsid w:val="00CB021A"/>
    <w:rPr>
      <w:rFonts w:ascii="Arial" w:eastAsia="Times New Roman" w:hAnsi="Arial" w:cs="Times New Roman"/>
      <w:sz w:val="24"/>
      <w:szCs w:val="20"/>
    </w:rPr>
  </w:style>
  <w:style w:type="paragraph" w:styleId="Footer">
    <w:name w:val="footer"/>
    <w:basedOn w:val="Normal"/>
    <w:link w:val="FooterChar"/>
    <w:semiHidden/>
    <w:rsid w:val="00CB021A"/>
    <w:pPr>
      <w:tabs>
        <w:tab w:val="center" w:pos="4320"/>
        <w:tab w:val="right" w:pos="8640"/>
      </w:tabs>
      <w:spacing w:after="0" w:line="240" w:lineRule="auto"/>
    </w:pPr>
    <w:rPr>
      <w:rFonts w:ascii="Arial" w:eastAsia="Times New Roman" w:hAnsi="Arial" w:cs="Times New Roman"/>
      <w:sz w:val="24"/>
      <w:szCs w:val="20"/>
    </w:rPr>
  </w:style>
  <w:style w:type="character" w:customStyle="1" w:styleId="FooterChar">
    <w:name w:val="Footer Char"/>
    <w:basedOn w:val="DefaultParagraphFont"/>
    <w:link w:val="Footer"/>
    <w:semiHidden/>
    <w:rsid w:val="00CB021A"/>
    <w:rPr>
      <w:rFonts w:ascii="Arial" w:eastAsia="Times New Roman" w:hAnsi="Arial" w:cs="Times New Roman"/>
      <w:sz w:val="24"/>
      <w:szCs w:val="20"/>
    </w:rPr>
  </w:style>
  <w:style w:type="character" w:styleId="PageNumber">
    <w:name w:val="page number"/>
    <w:basedOn w:val="DefaultParagraphFont"/>
    <w:semiHidden/>
    <w:rsid w:val="00CB02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B021A"/>
    <w:pPr>
      <w:keepNext/>
      <w:widowControl w:val="0"/>
      <w:spacing w:after="0" w:line="240" w:lineRule="auto"/>
      <w:outlineLvl w:val="0"/>
    </w:pPr>
    <w:rPr>
      <w:rFonts w:ascii="Times New Roman" w:eastAsia="Times New Roman" w:hAnsi="Times New Roman" w:cs="Times New Roman"/>
      <w:b/>
      <w:snapToGrid w:val="0"/>
      <w:sz w:val="26"/>
      <w:szCs w:val="20"/>
    </w:rPr>
  </w:style>
  <w:style w:type="paragraph" w:styleId="Heading2">
    <w:name w:val="heading 2"/>
    <w:basedOn w:val="Normal"/>
    <w:next w:val="Normal"/>
    <w:link w:val="Heading2Char"/>
    <w:qFormat/>
    <w:rsid w:val="00CB021A"/>
    <w:pPr>
      <w:keepNext/>
      <w:widowControl w:val="0"/>
      <w:spacing w:after="0" w:line="240" w:lineRule="auto"/>
      <w:ind w:left="720"/>
      <w:outlineLvl w:val="1"/>
    </w:pPr>
    <w:rPr>
      <w:rFonts w:ascii="Times New Roman" w:eastAsia="Times New Roman" w:hAnsi="Times New Roman" w:cs="Times New Roman"/>
      <w:b/>
      <w:snapToGrid w:val="0"/>
      <w:szCs w:val="20"/>
    </w:rPr>
  </w:style>
  <w:style w:type="paragraph" w:styleId="Heading5">
    <w:name w:val="heading 5"/>
    <w:basedOn w:val="Normal"/>
    <w:next w:val="Normal"/>
    <w:link w:val="Heading5Char"/>
    <w:qFormat/>
    <w:rsid w:val="00CB021A"/>
    <w:pPr>
      <w:keepNext/>
      <w:widowControl w:val="0"/>
      <w:tabs>
        <w:tab w:val="left" w:pos="0"/>
        <w:tab w:val="num" w:pos="360"/>
        <w:tab w:val="center" w:pos="4680"/>
      </w:tabs>
      <w:spacing w:after="0" w:line="240" w:lineRule="auto"/>
      <w:jc w:val="center"/>
      <w:outlineLvl w:val="4"/>
    </w:pPr>
    <w:rPr>
      <w:rFonts w:ascii="Times New Roman" w:eastAsia="Times New Roman" w:hAnsi="Times New Roman" w:cs="Times New Roman"/>
      <w:b/>
      <w:snapToGrid w:val="0"/>
      <w:sz w:val="30"/>
      <w:szCs w:val="20"/>
    </w:rPr>
  </w:style>
  <w:style w:type="paragraph" w:styleId="Heading6">
    <w:name w:val="heading 6"/>
    <w:basedOn w:val="Normal"/>
    <w:next w:val="Normal"/>
    <w:link w:val="Heading6Char"/>
    <w:qFormat/>
    <w:rsid w:val="00CB021A"/>
    <w:pPr>
      <w:keepNext/>
      <w:widowControl w:val="0"/>
      <w:spacing w:after="0" w:line="480" w:lineRule="auto"/>
      <w:jc w:val="both"/>
      <w:outlineLvl w:val="5"/>
    </w:pPr>
    <w:rPr>
      <w:rFonts w:ascii="Times New Roman" w:eastAsia="Times New Roman" w:hAnsi="Times New Roman" w:cs="Times New Roman"/>
      <w:b/>
      <w:snapToGrid w:val="0"/>
      <w:szCs w:val="20"/>
    </w:rPr>
  </w:style>
  <w:style w:type="paragraph" w:styleId="Heading7">
    <w:name w:val="heading 7"/>
    <w:basedOn w:val="Normal"/>
    <w:next w:val="Normal"/>
    <w:link w:val="Heading7Char"/>
    <w:qFormat/>
    <w:rsid w:val="00CB021A"/>
    <w:pPr>
      <w:keepNext/>
      <w:widowControl w:val="0"/>
      <w:spacing w:after="0" w:line="240" w:lineRule="auto"/>
      <w:jc w:val="both"/>
      <w:outlineLvl w:val="6"/>
    </w:pPr>
    <w:rPr>
      <w:rFonts w:ascii="Times New Roman" w:eastAsia="Times New Roman" w:hAnsi="Times New Roman" w:cs="Times New Roman"/>
      <w:b/>
      <w:snapToGrid w:val="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021A"/>
    <w:rPr>
      <w:rFonts w:ascii="Times New Roman" w:eastAsia="Times New Roman" w:hAnsi="Times New Roman" w:cs="Times New Roman"/>
      <w:b/>
      <w:snapToGrid w:val="0"/>
      <w:sz w:val="26"/>
      <w:szCs w:val="20"/>
    </w:rPr>
  </w:style>
  <w:style w:type="character" w:customStyle="1" w:styleId="Heading2Char">
    <w:name w:val="Heading 2 Char"/>
    <w:basedOn w:val="DefaultParagraphFont"/>
    <w:link w:val="Heading2"/>
    <w:rsid w:val="00CB021A"/>
    <w:rPr>
      <w:rFonts w:ascii="Times New Roman" w:eastAsia="Times New Roman" w:hAnsi="Times New Roman" w:cs="Times New Roman"/>
      <w:b/>
      <w:snapToGrid w:val="0"/>
      <w:szCs w:val="20"/>
    </w:rPr>
  </w:style>
  <w:style w:type="character" w:customStyle="1" w:styleId="Heading5Char">
    <w:name w:val="Heading 5 Char"/>
    <w:basedOn w:val="DefaultParagraphFont"/>
    <w:link w:val="Heading5"/>
    <w:rsid w:val="00CB021A"/>
    <w:rPr>
      <w:rFonts w:ascii="Times New Roman" w:eastAsia="Times New Roman" w:hAnsi="Times New Roman" w:cs="Times New Roman"/>
      <w:b/>
      <w:snapToGrid w:val="0"/>
      <w:sz w:val="30"/>
      <w:szCs w:val="20"/>
    </w:rPr>
  </w:style>
  <w:style w:type="character" w:customStyle="1" w:styleId="Heading6Char">
    <w:name w:val="Heading 6 Char"/>
    <w:basedOn w:val="DefaultParagraphFont"/>
    <w:link w:val="Heading6"/>
    <w:rsid w:val="00CB021A"/>
    <w:rPr>
      <w:rFonts w:ascii="Times New Roman" w:eastAsia="Times New Roman" w:hAnsi="Times New Roman" w:cs="Times New Roman"/>
      <w:b/>
      <w:snapToGrid w:val="0"/>
      <w:szCs w:val="20"/>
    </w:rPr>
  </w:style>
  <w:style w:type="character" w:customStyle="1" w:styleId="Heading7Char">
    <w:name w:val="Heading 7 Char"/>
    <w:basedOn w:val="DefaultParagraphFont"/>
    <w:link w:val="Heading7"/>
    <w:rsid w:val="00CB021A"/>
    <w:rPr>
      <w:rFonts w:ascii="Times New Roman" w:eastAsia="Times New Roman" w:hAnsi="Times New Roman" w:cs="Times New Roman"/>
      <w:b/>
      <w:snapToGrid w:val="0"/>
      <w:sz w:val="26"/>
      <w:szCs w:val="20"/>
    </w:rPr>
  </w:style>
  <w:style w:type="numbering" w:customStyle="1" w:styleId="NoList1">
    <w:name w:val="No List1"/>
    <w:next w:val="NoList"/>
    <w:uiPriority w:val="99"/>
    <w:semiHidden/>
    <w:unhideWhenUsed/>
    <w:rsid w:val="00CB021A"/>
  </w:style>
  <w:style w:type="paragraph" w:styleId="BodyTextIndent">
    <w:name w:val="Body Text Indent"/>
    <w:basedOn w:val="Normal"/>
    <w:link w:val="BodyTextIndentChar"/>
    <w:semiHidden/>
    <w:rsid w:val="00CB021A"/>
    <w:pPr>
      <w:widowControl w:val="0"/>
      <w:spacing w:after="0" w:line="240" w:lineRule="auto"/>
      <w:ind w:left="2250" w:hanging="2250"/>
    </w:pPr>
    <w:rPr>
      <w:rFonts w:ascii="Times New Roman" w:eastAsia="Times New Roman" w:hAnsi="Times New Roman" w:cs="Times New Roman"/>
      <w:b/>
      <w:snapToGrid w:val="0"/>
      <w:sz w:val="26"/>
      <w:szCs w:val="20"/>
    </w:rPr>
  </w:style>
  <w:style w:type="character" w:customStyle="1" w:styleId="BodyTextIndentChar">
    <w:name w:val="Body Text Indent Char"/>
    <w:basedOn w:val="DefaultParagraphFont"/>
    <w:link w:val="BodyTextIndent"/>
    <w:semiHidden/>
    <w:rsid w:val="00CB021A"/>
    <w:rPr>
      <w:rFonts w:ascii="Times New Roman" w:eastAsia="Times New Roman" w:hAnsi="Times New Roman" w:cs="Times New Roman"/>
      <w:b/>
      <w:snapToGrid w:val="0"/>
      <w:sz w:val="26"/>
      <w:szCs w:val="20"/>
    </w:rPr>
  </w:style>
  <w:style w:type="paragraph" w:styleId="BodyTextIndent3">
    <w:name w:val="Body Text Indent 3"/>
    <w:basedOn w:val="Normal"/>
    <w:link w:val="BodyTextIndent3Char"/>
    <w:semiHidden/>
    <w:rsid w:val="00CB021A"/>
    <w:pPr>
      <w:widowControl w:val="0"/>
      <w:tabs>
        <w:tab w:val="left" w:pos="-1440"/>
      </w:tabs>
      <w:spacing w:after="0" w:line="240" w:lineRule="auto"/>
      <w:ind w:left="1440"/>
    </w:pPr>
    <w:rPr>
      <w:rFonts w:ascii="Times New Roman" w:eastAsia="Times New Roman" w:hAnsi="Times New Roman" w:cs="Times New Roman"/>
      <w:snapToGrid w:val="0"/>
      <w:szCs w:val="20"/>
    </w:rPr>
  </w:style>
  <w:style w:type="character" w:customStyle="1" w:styleId="BodyTextIndent3Char">
    <w:name w:val="Body Text Indent 3 Char"/>
    <w:basedOn w:val="DefaultParagraphFont"/>
    <w:link w:val="BodyTextIndent3"/>
    <w:semiHidden/>
    <w:rsid w:val="00CB021A"/>
    <w:rPr>
      <w:rFonts w:ascii="Times New Roman" w:eastAsia="Times New Roman" w:hAnsi="Times New Roman" w:cs="Times New Roman"/>
      <w:snapToGrid w:val="0"/>
      <w:szCs w:val="20"/>
    </w:rPr>
  </w:style>
  <w:style w:type="paragraph" w:styleId="EndnoteText">
    <w:name w:val="endnote text"/>
    <w:basedOn w:val="Normal"/>
    <w:link w:val="EndnoteTextChar"/>
    <w:semiHidden/>
    <w:rsid w:val="00CB021A"/>
    <w:pPr>
      <w:widowControl w:val="0"/>
      <w:spacing w:after="0" w:line="240" w:lineRule="auto"/>
    </w:pPr>
    <w:rPr>
      <w:rFonts w:ascii="Times New Roman" w:eastAsia="Times New Roman" w:hAnsi="Times New Roman" w:cs="Times New Roman"/>
      <w:snapToGrid w:val="0"/>
      <w:szCs w:val="20"/>
    </w:rPr>
  </w:style>
  <w:style w:type="character" w:customStyle="1" w:styleId="EndnoteTextChar">
    <w:name w:val="Endnote Text Char"/>
    <w:basedOn w:val="DefaultParagraphFont"/>
    <w:link w:val="EndnoteText"/>
    <w:semiHidden/>
    <w:rsid w:val="00CB021A"/>
    <w:rPr>
      <w:rFonts w:ascii="Times New Roman" w:eastAsia="Times New Roman" w:hAnsi="Times New Roman" w:cs="Times New Roman"/>
      <w:snapToGrid w:val="0"/>
      <w:szCs w:val="20"/>
    </w:rPr>
  </w:style>
  <w:style w:type="paragraph" w:styleId="BodyText3">
    <w:name w:val="Body Text 3"/>
    <w:basedOn w:val="Normal"/>
    <w:link w:val="BodyText3Char"/>
    <w:semiHidden/>
    <w:rsid w:val="00CB021A"/>
    <w:pPr>
      <w:widowControl w:val="0"/>
      <w:spacing w:after="0" w:line="240" w:lineRule="auto"/>
    </w:pPr>
    <w:rPr>
      <w:rFonts w:ascii="Times New Roman" w:eastAsia="Times New Roman" w:hAnsi="Times New Roman" w:cs="Times New Roman"/>
      <w:b/>
      <w:snapToGrid w:val="0"/>
      <w:sz w:val="26"/>
      <w:szCs w:val="20"/>
    </w:rPr>
  </w:style>
  <w:style w:type="character" w:customStyle="1" w:styleId="BodyText3Char">
    <w:name w:val="Body Text 3 Char"/>
    <w:basedOn w:val="DefaultParagraphFont"/>
    <w:link w:val="BodyText3"/>
    <w:semiHidden/>
    <w:rsid w:val="00CB021A"/>
    <w:rPr>
      <w:rFonts w:ascii="Times New Roman" w:eastAsia="Times New Roman" w:hAnsi="Times New Roman" w:cs="Times New Roman"/>
      <w:b/>
      <w:snapToGrid w:val="0"/>
      <w:sz w:val="26"/>
      <w:szCs w:val="20"/>
    </w:rPr>
  </w:style>
  <w:style w:type="paragraph" w:styleId="BodyText">
    <w:name w:val="Body Text"/>
    <w:basedOn w:val="Normal"/>
    <w:link w:val="BodyTextChar"/>
    <w:semiHidden/>
    <w:rsid w:val="00CB021A"/>
    <w:pPr>
      <w:widowControl w:val="0"/>
      <w:pBdr>
        <w:top w:val="dashDotStroked" w:sz="24" w:space="1" w:color="auto"/>
        <w:left w:val="dashDotStroked" w:sz="24" w:space="4" w:color="auto"/>
        <w:bottom w:val="dashDotStroked" w:sz="24" w:space="1" w:color="auto"/>
        <w:right w:val="dashDotStroked" w:sz="24" w:space="4" w:color="auto"/>
      </w:pBdr>
      <w:shd w:val="pct5" w:color="auto" w:fill="FFFFFF"/>
      <w:spacing w:after="0" w:line="240" w:lineRule="auto"/>
    </w:pPr>
    <w:rPr>
      <w:rFonts w:ascii="Times New Roman" w:eastAsia="Times New Roman" w:hAnsi="Times New Roman" w:cs="Times New Roman"/>
      <w:b/>
      <w:snapToGrid w:val="0"/>
      <w:szCs w:val="20"/>
    </w:rPr>
  </w:style>
  <w:style w:type="character" w:customStyle="1" w:styleId="BodyTextChar">
    <w:name w:val="Body Text Char"/>
    <w:basedOn w:val="DefaultParagraphFont"/>
    <w:link w:val="BodyText"/>
    <w:semiHidden/>
    <w:rsid w:val="00CB021A"/>
    <w:rPr>
      <w:rFonts w:ascii="Times New Roman" w:eastAsia="Times New Roman" w:hAnsi="Times New Roman" w:cs="Times New Roman"/>
      <w:b/>
      <w:snapToGrid w:val="0"/>
      <w:szCs w:val="20"/>
      <w:shd w:val="pct5" w:color="auto" w:fill="FFFFFF"/>
    </w:rPr>
  </w:style>
  <w:style w:type="paragraph" w:styleId="BodyTextIndent2">
    <w:name w:val="Body Text Indent 2"/>
    <w:basedOn w:val="Normal"/>
    <w:link w:val="BodyTextIndent2Char"/>
    <w:semiHidden/>
    <w:rsid w:val="00CB021A"/>
    <w:pPr>
      <w:widowControl w:val="0"/>
      <w:spacing w:after="0" w:line="240" w:lineRule="auto"/>
      <w:ind w:left="2160" w:hanging="2160"/>
    </w:pPr>
    <w:rPr>
      <w:rFonts w:ascii="Times New Roman" w:eastAsia="Times New Roman" w:hAnsi="Times New Roman" w:cs="Times New Roman"/>
      <w:b/>
      <w:snapToGrid w:val="0"/>
      <w:sz w:val="26"/>
      <w:szCs w:val="20"/>
    </w:rPr>
  </w:style>
  <w:style w:type="character" w:customStyle="1" w:styleId="BodyTextIndent2Char">
    <w:name w:val="Body Text Indent 2 Char"/>
    <w:basedOn w:val="DefaultParagraphFont"/>
    <w:link w:val="BodyTextIndent2"/>
    <w:semiHidden/>
    <w:rsid w:val="00CB021A"/>
    <w:rPr>
      <w:rFonts w:ascii="Times New Roman" w:eastAsia="Times New Roman" w:hAnsi="Times New Roman" w:cs="Times New Roman"/>
      <w:b/>
      <w:snapToGrid w:val="0"/>
      <w:sz w:val="26"/>
      <w:szCs w:val="20"/>
    </w:rPr>
  </w:style>
  <w:style w:type="character" w:styleId="Hyperlink">
    <w:name w:val="Hyperlink"/>
    <w:basedOn w:val="DefaultParagraphFont"/>
    <w:semiHidden/>
    <w:rsid w:val="00CB021A"/>
    <w:rPr>
      <w:color w:val="0000FF"/>
      <w:u w:val="single"/>
    </w:rPr>
  </w:style>
  <w:style w:type="character" w:styleId="FollowedHyperlink">
    <w:name w:val="FollowedHyperlink"/>
    <w:basedOn w:val="DefaultParagraphFont"/>
    <w:semiHidden/>
    <w:rsid w:val="00CB021A"/>
    <w:rPr>
      <w:color w:val="800080"/>
      <w:u w:val="single"/>
    </w:rPr>
  </w:style>
  <w:style w:type="table" w:styleId="TableGrid">
    <w:name w:val="Table Grid"/>
    <w:basedOn w:val="TableNormal"/>
    <w:uiPriority w:val="59"/>
    <w:rsid w:val="00CB021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semiHidden/>
    <w:rsid w:val="00CB021A"/>
    <w:pPr>
      <w:tabs>
        <w:tab w:val="center" w:pos="4320"/>
        <w:tab w:val="right" w:pos="8640"/>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semiHidden/>
    <w:rsid w:val="00CB021A"/>
    <w:rPr>
      <w:rFonts w:ascii="Arial" w:eastAsia="Times New Roman" w:hAnsi="Arial" w:cs="Times New Roman"/>
      <w:sz w:val="24"/>
      <w:szCs w:val="20"/>
    </w:rPr>
  </w:style>
  <w:style w:type="paragraph" w:styleId="Footer">
    <w:name w:val="footer"/>
    <w:basedOn w:val="Normal"/>
    <w:link w:val="FooterChar"/>
    <w:semiHidden/>
    <w:rsid w:val="00CB021A"/>
    <w:pPr>
      <w:tabs>
        <w:tab w:val="center" w:pos="4320"/>
        <w:tab w:val="right" w:pos="8640"/>
      </w:tabs>
      <w:spacing w:after="0" w:line="240" w:lineRule="auto"/>
    </w:pPr>
    <w:rPr>
      <w:rFonts w:ascii="Arial" w:eastAsia="Times New Roman" w:hAnsi="Arial" w:cs="Times New Roman"/>
      <w:sz w:val="24"/>
      <w:szCs w:val="20"/>
    </w:rPr>
  </w:style>
  <w:style w:type="character" w:customStyle="1" w:styleId="FooterChar">
    <w:name w:val="Footer Char"/>
    <w:basedOn w:val="DefaultParagraphFont"/>
    <w:link w:val="Footer"/>
    <w:semiHidden/>
    <w:rsid w:val="00CB021A"/>
    <w:rPr>
      <w:rFonts w:ascii="Arial" w:eastAsia="Times New Roman" w:hAnsi="Arial" w:cs="Times New Roman"/>
      <w:sz w:val="24"/>
      <w:szCs w:val="20"/>
    </w:rPr>
  </w:style>
  <w:style w:type="character" w:styleId="PageNumber">
    <w:name w:val="page number"/>
    <w:basedOn w:val="DefaultParagraphFont"/>
    <w:semiHidden/>
    <w:rsid w:val="00CB0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3701</Words>
  <Characters>21097</Characters>
  <Application>Microsoft Office Word</Application>
  <DocSecurity>0</DocSecurity>
  <Lines>175</Lines>
  <Paragraphs>49</Paragraphs>
  <ScaleCrop>false</ScaleCrop>
  <Company/>
  <LinksUpToDate>false</LinksUpToDate>
  <CharactersWithSpaces>24749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2012-12-30T21:45:00Z</dcterms:created>
  <dcterms:modified xsi:type="dcterms:W3CDTF">2012-12-30T21:49:00Z</dcterms:modified>
</cp:coreProperties>
</file>