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B0D14" w:rsidRPr="008B0D14" w:rsidRDefault="008B0D14" w:rsidP="008B0D14">
      <w:pPr>
        <w:spacing w:after="0" w:line="400" w:lineRule="exact"/>
        <w:jc w:val="center"/>
        <w:rPr>
          <w:rFonts w:ascii="Helvetica" w:eastAsia="Times New Roman" w:hAnsi="Helvetica" w:cs="Helvetica"/>
          <w:b/>
          <w:bCs/>
          <w:sz w:val="36"/>
          <w:szCs w:val="36"/>
          <w:u w:val="single"/>
        </w:rPr>
      </w:pPr>
      <w:r w:rsidRPr="008B0D14">
        <w:rPr>
          <w:rFonts w:ascii="Helvetica" w:eastAsia="Times New Roman" w:hAnsi="Helvetica" w:cs="Helvetica"/>
          <w:b/>
          <w:bCs/>
          <w:sz w:val="36"/>
          <w:szCs w:val="36"/>
          <w:u w:val="single"/>
        </w:rPr>
        <w:t>Lecture 22</w:t>
      </w:r>
    </w:p>
    <w:p w:rsidR="008B0D14" w:rsidRPr="008B0D14" w:rsidRDefault="008B0D14" w:rsidP="008B0D14">
      <w:pPr>
        <w:spacing w:after="0" w:line="400" w:lineRule="exact"/>
        <w:jc w:val="center"/>
        <w:rPr>
          <w:rFonts w:ascii="Helvetica" w:eastAsia="Times New Roman" w:hAnsi="Helvetica" w:cs="Helvetica"/>
          <w:b/>
          <w:bCs/>
          <w:sz w:val="36"/>
          <w:szCs w:val="36"/>
          <w:u w:val="single"/>
        </w:rPr>
      </w:pPr>
      <w:r w:rsidRPr="008B0D14">
        <w:rPr>
          <w:rFonts w:ascii="Helvetica" w:eastAsia="Times New Roman" w:hAnsi="Helvetica" w:cs="Helvetica"/>
          <w:b/>
          <w:bCs/>
          <w:sz w:val="36"/>
          <w:szCs w:val="36"/>
          <w:u w:val="single"/>
        </w:rPr>
        <w:t>Accounting for Income Taxes</w:t>
      </w:r>
    </w:p>
    <w:p w:rsidR="008B0D14" w:rsidRPr="008B0D14" w:rsidRDefault="008B0D14" w:rsidP="008B0D14">
      <w:pPr>
        <w:widowControl w:val="0"/>
        <w:spacing w:after="0" w:line="240" w:lineRule="auto"/>
        <w:jc w:val="center"/>
        <w:rPr>
          <w:rFonts w:ascii="Helvetica" w:eastAsia="Times New Roman" w:hAnsi="Helvetica" w:cs="Helvetica"/>
          <w:sz w:val="24"/>
          <w:szCs w:val="24"/>
        </w:rPr>
      </w:pPr>
    </w:p>
    <w:p w:rsidR="008B0D14" w:rsidRPr="008B0D14" w:rsidRDefault="008B0D14" w:rsidP="008B0D14">
      <w:pPr>
        <w:widowControl w:val="0"/>
        <w:spacing w:after="0" w:line="240" w:lineRule="auto"/>
        <w:jc w:val="center"/>
        <w:rPr>
          <w:rFonts w:ascii="Helvetica" w:eastAsia="Times New Roman" w:hAnsi="Helvetica" w:cs="Helvetica"/>
          <w:sz w:val="24"/>
          <w:szCs w:val="24"/>
        </w:rPr>
      </w:pPr>
    </w:p>
    <w:p w:rsidR="008B0D14" w:rsidRPr="008B0D14" w:rsidRDefault="008B0D14" w:rsidP="008B0D14">
      <w:pPr>
        <w:tabs>
          <w:tab w:val="right" w:pos="360"/>
          <w:tab w:val="left" w:pos="540"/>
        </w:tabs>
        <w:spacing w:after="0" w:line="280" w:lineRule="exact"/>
        <w:ind w:left="547" w:hanging="547"/>
        <w:jc w:val="both"/>
        <w:rPr>
          <w:rFonts w:ascii="Helvetica" w:eastAsia="Times New Roman" w:hAnsi="Helvetica" w:cs="Helvetica"/>
          <w:sz w:val="24"/>
          <w:szCs w:val="24"/>
        </w:rPr>
      </w:pPr>
      <w:r w:rsidRPr="008B0D14">
        <w:rPr>
          <w:rFonts w:ascii="Helvetica" w:eastAsia="Times New Roman" w:hAnsi="Helvetica" w:cs="Helvetica"/>
          <w:sz w:val="24"/>
          <w:szCs w:val="24"/>
        </w:rPr>
        <w:tab/>
      </w:r>
      <w:r>
        <w:rPr>
          <w:rFonts w:ascii="Helvetica" w:eastAsia="Times New Roman" w:hAnsi="Helvetica" w:cs="Helvetica"/>
          <w:sz w:val="24"/>
          <w:szCs w:val="24"/>
        </w:rPr>
        <w:t>1</w:t>
      </w:r>
      <w:r w:rsidRPr="008B0D14">
        <w:rPr>
          <w:rFonts w:ascii="Helvetica" w:eastAsia="Times New Roman" w:hAnsi="Helvetica" w:cs="Helvetica"/>
          <w:sz w:val="24"/>
          <w:szCs w:val="24"/>
        </w:rPr>
        <w:t>.</w:t>
      </w:r>
      <w:r w:rsidRPr="008B0D14">
        <w:rPr>
          <w:rFonts w:ascii="Helvetica" w:eastAsia="Times New Roman" w:hAnsi="Helvetica" w:cs="Helvetica"/>
          <w:sz w:val="24"/>
          <w:szCs w:val="24"/>
        </w:rPr>
        <w:tab/>
        <w:t xml:space="preserve">Due to the fact that tax regulations and generally accepted accounting principles differ in many ways, taxable income and financial income frequently differ. The following </w:t>
      </w:r>
      <w:r w:rsidRPr="008B0D14">
        <w:rPr>
          <w:rFonts w:ascii="Helvetica" w:eastAsia="Times New Roman" w:hAnsi="Helvetica" w:cs="Helvetica"/>
          <w:spacing w:val="-2"/>
          <w:sz w:val="24"/>
          <w:szCs w:val="24"/>
        </w:rPr>
        <w:t>represent examples of events th</w:t>
      </w:r>
      <w:bookmarkStart w:id="0" w:name="_GoBack"/>
      <w:bookmarkEnd w:id="0"/>
      <w:r w:rsidRPr="008B0D14">
        <w:rPr>
          <w:rFonts w:ascii="Helvetica" w:eastAsia="Times New Roman" w:hAnsi="Helvetica" w:cs="Helvetica"/>
          <w:spacing w:val="-2"/>
          <w:sz w:val="24"/>
          <w:szCs w:val="24"/>
        </w:rPr>
        <w:t xml:space="preserve">at can result in such differences: (a) depreciation computed </w:t>
      </w:r>
      <w:r w:rsidRPr="008B0D14">
        <w:rPr>
          <w:rFonts w:ascii="Helvetica" w:eastAsia="Times New Roman" w:hAnsi="Helvetica" w:cs="Helvetica"/>
          <w:sz w:val="24"/>
          <w:szCs w:val="24"/>
        </w:rPr>
        <w:t>on a straight-line basis for financial reporting purposes and on an accelerated basis for tax purposes, (b) income recognized on the accrual basis for financial reporting purposes and on the installment basis for tax purposes, and (c) warranty costs recognized in the period incurred for financial reporting purposes and when they are paid for tax purposes.</w:t>
      </w:r>
    </w:p>
    <w:p w:rsidR="008B0D14" w:rsidRPr="008B0D14" w:rsidRDefault="008B0D14" w:rsidP="008B0D14">
      <w:pPr>
        <w:tabs>
          <w:tab w:val="right" w:pos="360"/>
          <w:tab w:val="left" w:pos="540"/>
        </w:tabs>
        <w:spacing w:after="0" w:line="280" w:lineRule="exact"/>
        <w:ind w:left="547" w:hanging="547"/>
        <w:jc w:val="both"/>
        <w:rPr>
          <w:rFonts w:ascii="Helvetica" w:eastAsia="Times New Roman" w:hAnsi="Helvetica" w:cs="Helvetica"/>
          <w:sz w:val="24"/>
          <w:szCs w:val="24"/>
        </w:rPr>
      </w:pPr>
    </w:p>
    <w:p w:rsidR="008B0D14" w:rsidRPr="008B0D14" w:rsidRDefault="008B0D14" w:rsidP="008B0D14">
      <w:pPr>
        <w:tabs>
          <w:tab w:val="right" w:pos="360"/>
          <w:tab w:val="left" w:pos="540"/>
        </w:tabs>
        <w:spacing w:after="0" w:line="280" w:lineRule="exact"/>
        <w:ind w:left="547" w:hanging="547"/>
        <w:jc w:val="both"/>
        <w:rPr>
          <w:rFonts w:ascii="Helvetica" w:eastAsia="Times New Roman" w:hAnsi="Helvetica" w:cs="Helvetica"/>
          <w:sz w:val="24"/>
          <w:szCs w:val="24"/>
        </w:rPr>
      </w:pPr>
      <w:r w:rsidRPr="008B0D14">
        <w:rPr>
          <w:rFonts w:ascii="Helvetica" w:eastAsia="Times New Roman" w:hAnsi="Helvetica" w:cs="Helvetica"/>
          <w:sz w:val="24"/>
          <w:szCs w:val="24"/>
        </w:rPr>
        <w:tab/>
      </w:r>
      <w:r>
        <w:rPr>
          <w:rFonts w:ascii="Helvetica" w:eastAsia="Times New Roman" w:hAnsi="Helvetica" w:cs="Helvetica"/>
          <w:sz w:val="24"/>
          <w:szCs w:val="24"/>
        </w:rPr>
        <w:t>2</w:t>
      </w:r>
      <w:r w:rsidRPr="008B0D14">
        <w:rPr>
          <w:rFonts w:ascii="Helvetica" w:eastAsia="Times New Roman" w:hAnsi="Helvetica" w:cs="Helvetica"/>
          <w:sz w:val="24"/>
          <w:szCs w:val="24"/>
        </w:rPr>
        <w:t>.</w:t>
      </w:r>
      <w:r w:rsidRPr="008B0D14">
        <w:rPr>
          <w:rFonts w:ascii="Helvetica" w:eastAsia="Times New Roman" w:hAnsi="Helvetica" w:cs="Helvetica"/>
          <w:sz w:val="24"/>
          <w:szCs w:val="24"/>
        </w:rPr>
        <w:tab/>
      </w:r>
      <w:r w:rsidRPr="008B0D14">
        <w:rPr>
          <w:rFonts w:ascii="Helvetica" w:eastAsia="Times New Roman" w:hAnsi="Helvetica" w:cs="Helvetica"/>
          <w:spacing w:val="-2"/>
          <w:sz w:val="24"/>
          <w:szCs w:val="24"/>
        </w:rPr>
        <w:t xml:space="preserve">The items discussed in paragraph 2 above can result in temporary differences between the amounts reported for book purposes and those reported for tax purposes. A </w:t>
      </w:r>
      <w:r w:rsidRPr="008B0D14">
        <w:rPr>
          <w:rFonts w:ascii="Helvetica" w:eastAsia="Times New Roman" w:hAnsi="Helvetica" w:cs="Helvetica"/>
          <w:b/>
          <w:bCs/>
          <w:spacing w:val="-2"/>
          <w:sz w:val="24"/>
          <w:szCs w:val="24"/>
        </w:rPr>
        <w:t xml:space="preserve">temporary difference </w:t>
      </w:r>
      <w:r w:rsidRPr="008B0D14">
        <w:rPr>
          <w:rFonts w:ascii="Helvetica" w:eastAsia="Times New Roman" w:hAnsi="Helvetica" w:cs="Helvetica"/>
          <w:spacing w:val="-2"/>
          <w:sz w:val="24"/>
          <w:szCs w:val="24"/>
        </w:rPr>
        <w:t>is the difference between the tax basis of an asset or liability and its reported amount in the financial statements that will result in taxable amounts (increase in taxable income) or deductible amounts (decrease in taxable income) in future years when the reported amount of the asset is recovered or when the reported amount of the liability is settled. When the book amount of an asset or liability differs from the tax basis as a result of a temporary difference, the future tax effects on taxable income must be reported in the current financial statements.</w:t>
      </w:r>
    </w:p>
    <w:p w:rsidR="008B0D14" w:rsidRPr="008B0D14" w:rsidRDefault="008B0D14" w:rsidP="008B0D14">
      <w:pPr>
        <w:spacing w:after="0" w:line="280" w:lineRule="exact"/>
        <w:rPr>
          <w:rFonts w:ascii="Helvetica" w:eastAsia="Times New Roman" w:hAnsi="Helvetica" w:cs="Helvetica"/>
          <w:sz w:val="24"/>
          <w:szCs w:val="24"/>
        </w:rPr>
      </w:pPr>
    </w:p>
    <w:p w:rsidR="008B0D14" w:rsidRPr="008B0D14" w:rsidRDefault="008B0D14" w:rsidP="008B0D14">
      <w:pPr>
        <w:spacing w:after="0" w:line="280" w:lineRule="exact"/>
        <w:rPr>
          <w:rFonts w:ascii="Helvetica" w:eastAsia="Times New Roman" w:hAnsi="Helvetica" w:cs="Helvetica"/>
          <w:sz w:val="24"/>
          <w:szCs w:val="24"/>
        </w:rPr>
      </w:pPr>
      <w:r w:rsidRPr="008B0D14">
        <w:rPr>
          <w:rFonts w:ascii="Helvetica" w:eastAsia="Times New Roman" w:hAnsi="Helvetica" w:cs="Helvetica"/>
          <w:b/>
          <w:bCs/>
          <w:sz w:val="24"/>
          <w:szCs w:val="24"/>
          <w:u w:val="single"/>
        </w:rPr>
        <w:t>Deferred Tax Liability</w:t>
      </w:r>
    </w:p>
    <w:p w:rsidR="008B0D14" w:rsidRPr="008B0D14" w:rsidRDefault="008B0D14" w:rsidP="008B0D14">
      <w:pPr>
        <w:spacing w:after="0" w:line="280" w:lineRule="exact"/>
        <w:rPr>
          <w:rFonts w:ascii="Helvetica" w:eastAsia="Times New Roman" w:hAnsi="Helvetica" w:cs="Helvetica"/>
          <w:sz w:val="24"/>
          <w:szCs w:val="24"/>
        </w:rPr>
      </w:pPr>
    </w:p>
    <w:p w:rsidR="008B0D14" w:rsidRPr="008B0D14" w:rsidRDefault="008B0D14" w:rsidP="008B0D14">
      <w:pPr>
        <w:tabs>
          <w:tab w:val="right" w:pos="360"/>
          <w:tab w:val="left" w:pos="540"/>
        </w:tabs>
        <w:spacing w:after="0" w:line="280" w:lineRule="exact"/>
        <w:ind w:left="547" w:hanging="547"/>
        <w:jc w:val="both"/>
        <w:rPr>
          <w:rFonts w:ascii="Helvetica" w:eastAsia="Times New Roman" w:hAnsi="Helvetica" w:cs="Helvetica"/>
          <w:sz w:val="24"/>
          <w:szCs w:val="24"/>
        </w:rPr>
      </w:pPr>
      <w:r w:rsidRPr="008B0D14">
        <w:rPr>
          <w:rFonts w:ascii="Helvetica" w:eastAsia="Times New Roman" w:hAnsi="Helvetica" w:cs="Helvetica"/>
          <w:sz w:val="24"/>
          <w:szCs w:val="24"/>
        </w:rPr>
        <w:tab/>
      </w:r>
      <w:r>
        <w:rPr>
          <w:rFonts w:ascii="Helvetica" w:eastAsia="Times New Roman" w:hAnsi="Helvetica" w:cs="Helvetica"/>
          <w:sz w:val="24"/>
          <w:szCs w:val="24"/>
        </w:rPr>
        <w:t>3</w:t>
      </w:r>
      <w:r w:rsidRPr="008B0D14">
        <w:rPr>
          <w:rFonts w:ascii="Helvetica" w:eastAsia="Times New Roman" w:hAnsi="Helvetica" w:cs="Helvetica"/>
          <w:sz w:val="24"/>
          <w:szCs w:val="24"/>
        </w:rPr>
        <w:t>.</w:t>
      </w:r>
      <w:r w:rsidRPr="008B0D14">
        <w:rPr>
          <w:rFonts w:ascii="Helvetica" w:eastAsia="Times New Roman" w:hAnsi="Helvetica" w:cs="Helvetica"/>
          <w:sz w:val="24"/>
          <w:szCs w:val="24"/>
        </w:rPr>
        <w:tab/>
        <w:t xml:space="preserve">A </w:t>
      </w:r>
      <w:r w:rsidRPr="008B0D14">
        <w:rPr>
          <w:rFonts w:ascii="Helvetica" w:eastAsia="Times New Roman" w:hAnsi="Helvetica" w:cs="Helvetica"/>
          <w:b/>
          <w:bCs/>
          <w:sz w:val="24"/>
          <w:szCs w:val="24"/>
        </w:rPr>
        <w:t xml:space="preserve">deferred tax liability </w:t>
      </w:r>
      <w:r w:rsidRPr="008B0D14">
        <w:rPr>
          <w:rFonts w:ascii="Helvetica" w:eastAsia="Times New Roman" w:hAnsi="Helvetica" w:cs="Helvetica"/>
          <w:sz w:val="24"/>
          <w:szCs w:val="24"/>
        </w:rPr>
        <w:t>is the amount of deferred tax consequence attributable to the temporary differences that will result in net taxable amounts in future years. The liability is the amount of taxes payable on these net taxable amounts in future years based on existing provisions of the tax law.</w:t>
      </w:r>
    </w:p>
    <w:p w:rsidR="008B0D14" w:rsidRPr="008B0D14" w:rsidRDefault="008B0D14" w:rsidP="008B0D14">
      <w:pPr>
        <w:tabs>
          <w:tab w:val="right" w:pos="360"/>
          <w:tab w:val="left" w:pos="540"/>
        </w:tabs>
        <w:spacing w:after="0" w:line="280" w:lineRule="exact"/>
        <w:ind w:left="547" w:hanging="547"/>
        <w:jc w:val="both"/>
        <w:rPr>
          <w:rFonts w:ascii="Helvetica" w:eastAsia="Times New Roman" w:hAnsi="Helvetica" w:cs="Helvetica"/>
          <w:sz w:val="24"/>
          <w:szCs w:val="24"/>
        </w:rPr>
      </w:pPr>
    </w:p>
    <w:p w:rsidR="008B0D14" w:rsidRPr="008B0D14" w:rsidRDefault="008B0D14" w:rsidP="008B0D14">
      <w:pPr>
        <w:tabs>
          <w:tab w:val="right" w:pos="360"/>
          <w:tab w:val="left" w:pos="540"/>
        </w:tabs>
        <w:spacing w:after="0" w:line="280" w:lineRule="exact"/>
        <w:ind w:left="547" w:hanging="547"/>
        <w:jc w:val="both"/>
        <w:rPr>
          <w:rFonts w:ascii="Helvetica" w:eastAsia="Times New Roman" w:hAnsi="Helvetica" w:cs="Helvetica"/>
          <w:sz w:val="24"/>
          <w:szCs w:val="24"/>
        </w:rPr>
      </w:pPr>
      <w:r w:rsidRPr="008B0D14">
        <w:rPr>
          <w:rFonts w:ascii="Helvetica" w:eastAsia="Times New Roman" w:hAnsi="Helvetica" w:cs="Helvetica"/>
          <w:sz w:val="24"/>
          <w:szCs w:val="24"/>
        </w:rPr>
        <w:tab/>
      </w:r>
      <w:r>
        <w:rPr>
          <w:rFonts w:ascii="Helvetica" w:eastAsia="Times New Roman" w:hAnsi="Helvetica" w:cs="Helvetica"/>
          <w:sz w:val="24"/>
          <w:szCs w:val="24"/>
        </w:rPr>
        <w:t>4</w:t>
      </w:r>
      <w:r w:rsidRPr="008B0D14">
        <w:rPr>
          <w:rFonts w:ascii="Helvetica" w:eastAsia="Times New Roman" w:hAnsi="Helvetica" w:cs="Helvetica"/>
          <w:sz w:val="24"/>
          <w:szCs w:val="24"/>
        </w:rPr>
        <w:t>.</w:t>
      </w:r>
      <w:r w:rsidRPr="008B0D14">
        <w:rPr>
          <w:rFonts w:ascii="Helvetica" w:eastAsia="Times New Roman" w:hAnsi="Helvetica" w:cs="Helvetica"/>
          <w:sz w:val="24"/>
          <w:szCs w:val="24"/>
        </w:rPr>
        <w:tab/>
      </w:r>
      <w:r w:rsidRPr="008B0D14">
        <w:rPr>
          <w:rFonts w:ascii="Helvetica" w:eastAsia="Times New Roman" w:hAnsi="Helvetica" w:cs="Helvetica"/>
          <w:spacing w:val="-2"/>
          <w:sz w:val="24"/>
          <w:szCs w:val="24"/>
        </w:rPr>
        <w:t>Deferred tax liabilities meet the definitions of a liability because (a) they result from past transactions, (b) a present obligation exists, and (c) future sacrifices will results when payment of the tax comes due.</w:t>
      </w:r>
    </w:p>
    <w:p w:rsidR="008B0D14" w:rsidRPr="008B0D14" w:rsidRDefault="008B0D14" w:rsidP="008B0D14">
      <w:pPr>
        <w:spacing w:after="0" w:line="280" w:lineRule="exact"/>
        <w:rPr>
          <w:rFonts w:ascii="Helvetica" w:eastAsia="Times New Roman" w:hAnsi="Helvetica" w:cs="Helvetica"/>
          <w:sz w:val="24"/>
          <w:szCs w:val="24"/>
        </w:rPr>
      </w:pPr>
    </w:p>
    <w:p w:rsidR="008B0D14" w:rsidRPr="008B0D14" w:rsidRDefault="008B0D14" w:rsidP="008B0D14">
      <w:pPr>
        <w:tabs>
          <w:tab w:val="right" w:pos="360"/>
          <w:tab w:val="left" w:pos="540"/>
        </w:tabs>
        <w:spacing w:after="0" w:line="280" w:lineRule="exact"/>
        <w:ind w:left="547" w:hanging="547"/>
        <w:jc w:val="both"/>
        <w:rPr>
          <w:rFonts w:ascii="Helvetica" w:eastAsia="Times New Roman" w:hAnsi="Helvetica" w:cs="Helvetica"/>
          <w:sz w:val="24"/>
          <w:szCs w:val="24"/>
        </w:rPr>
      </w:pPr>
      <w:r w:rsidRPr="008B0D14">
        <w:rPr>
          <w:rFonts w:ascii="Helvetica" w:eastAsia="Times New Roman" w:hAnsi="Helvetica" w:cs="Helvetica"/>
          <w:sz w:val="24"/>
          <w:szCs w:val="24"/>
        </w:rPr>
        <w:tab/>
      </w:r>
      <w:r>
        <w:rPr>
          <w:rFonts w:ascii="Helvetica" w:eastAsia="Times New Roman" w:hAnsi="Helvetica" w:cs="Helvetica"/>
          <w:sz w:val="24"/>
          <w:szCs w:val="24"/>
        </w:rPr>
        <w:t>5</w:t>
      </w:r>
      <w:r w:rsidRPr="008B0D14">
        <w:rPr>
          <w:rFonts w:ascii="Helvetica" w:eastAsia="Times New Roman" w:hAnsi="Helvetica" w:cs="Helvetica"/>
          <w:sz w:val="24"/>
          <w:szCs w:val="24"/>
        </w:rPr>
        <w:t>.</w:t>
      </w:r>
      <w:r w:rsidRPr="008B0D14">
        <w:rPr>
          <w:rFonts w:ascii="Helvetica" w:eastAsia="Times New Roman" w:hAnsi="Helvetica" w:cs="Helvetica"/>
          <w:sz w:val="24"/>
          <w:szCs w:val="24"/>
        </w:rPr>
        <w:tab/>
        <w:t>For example, assume Angle Company has a taxable temporary difference of $5,000,000 at the end of its initial year of operations. Its tax rate is 45%, which means a deferred tax liability ($5,000,000 X .45) is recorded. Assuming taxes payable are $2,000,000, the required journal entry is:</w:t>
      </w:r>
    </w:p>
    <w:p w:rsidR="008B0D14" w:rsidRPr="008B0D14" w:rsidRDefault="008B0D14" w:rsidP="008B0D14">
      <w:pPr>
        <w:spacing w:after="0" w:line="240" w:lineRule="auto"/>
        <w:rPr>
          <w:rFonts w:ascii="Helvetica" w:eastAsia="Times New Roman" w:hAnsi="Helvetica" w:cs="Helvetica"/>
          <w:sz w:val="24"/>
          <w:szCs w:val="24"/>
        </w:rPr>
      </w:pPr>
    </w:p>
    <w:p w:rsidR="008B0D14" w:rsidRPr="008B0D14" w:rsidRDefault="008B0D14" w:rsidP="008B0D14">
      <w:pPr>
        <w:tabs>
          <w:tab w:val="left" w:pos="1440"/>
          <w:tab w:val="left" w:pos="1800"/>
          <w:tab w:val="right" w:leader="dot" w:pos="6480"/>
          <w:tab w:val="right" w:pos="7920"/>
          <w:tab w:val="right" w:pos="9360"/>
        </w:tabs>
        <w:spacing w:after="0" w:line="280" w:lineRule="exact"/>
        <w:rPr>
          <w:rFonts w:ascii="Helvetica" w:eastAsia="Times New Roman" w:hAnsi="Helvetica" w:cs="Helvetica"/>
          <w:sz w:val="24"/>
          <w:szCs w:val="24"/>
        </w:rPr>
      </w:pPr>
      <w:r w:rsidRPr="008B0D14">
        <w:rPr>
          <w:rFonts w:ascii="Helvetica" w:eastAsia="Times New Roman" w:hAnsi="Helvetica" w:cs="Helvetica"/>
          <w:sz w:val="24"/>
          <w:szCs w:val="24"/>
        </w:rPr>
        <w:tab/>
        <w:t>Income tax expense</w:t>
      </w:r>
      <w:r w:rsidRPr="008B0D14">
        <w:rPr>
          <w:rFonts w:ascii="Helvetica" w:eastAsia="Times New Roman" w:hAnsi="Helvetica" w:cs="Helvetica"/>
          <w:sz w:val="24"/>
          <w:szCs w:val="24"/>
        </w:rPr>
        <w:tab/>
      </w:r>
      <w:r w:rsidRPr="008B0D14">
        <w:rPr>
          <w:rFonts w:ascii="Helvetica" w:eastAsia="Times New Roman" w:hAnsi="Helvetica" w:cs="Helvetica"/>
          <w:sz w:val="24"/>
          <w:szCs w:val="24"/>
        </w:rPr>
        <w:tab/>
        <w:t>4,250,000</w:t>
      </w:r>
    </w:p>
    <w:p w:rsidR="008B0D14" w:rsidRPr="008B0D14" w:rsidRDefault="008B0D14" w:rsidP="008B0D14">
      <w:pPr>
        <w:tabs>
          <w:tab w:val="left" w:pos="1440"/>
          <w:tab w:val="left" w:pos="1800"/>
          <w:tab w:val="right" w:leader="dot" w:pos="6480"/>
          <w:tab w:val="right" w:pos="7920"/>
          <w:tab w:val="right" w:pos="9360"/>
        </w:tabs>
        <w:spacing w:after="0" w:line="280" w:lineRule="exact"/>
        <w:rPr>
          <w:rFonts w:ascii="Helvetica" w:eastAsia="Times New Roman" w:hAnsi="Helvetica" w:cs="Helvetica"/>
          <w:sz w:val="24"/>
          <w:szCs w:val="24"/>
        </w:rPr>
      </w:pPr>
      <w:r w:rsidRPr="008B0D14">
        <w:rPr>
          <w:rFonts w:ascii="Helvetica" w:eastAsia="Times New Roman" w:hAnsi="Helvetica" w:cs="Helvetica"/>
          <w:sz w:val="24"/>
          <w:szCs w:val="24"/>
        </w:rPr>
        <w:tab/>
      </w:r>
      <w:r w:rsidRPr="008B0D14">
        <w:rPr>
          <w:rFonts w:ascii="Helvetica" w:eastAsia="Times New Roman" w:hAnsi="Helvetica" w:cs="Helvetica"/>
          <w:sz w:val="24"/>
          <w:szCs w:val="24"/>
        </w:rPr>
        <w:tab/>
        <w:t>Income taxes payable</w:t>
      </w:r>
      <w:r w:rsidRPr="008B0D14">
        <w:rPr>
          <w:rFonts w:ascii="Helvetica" w:eastAsia="Times New Roman" w:hAnsi="Helvetica" w:cs="Helvetica"/>
          <w:sz w:val="24"/>
          <w:szCs w:val="24"/>
        </w:rPr>
        <w:tab/>
      </w:r>
      <w:r w:rsidRPr="008B0D14">
        <w:rPr>
          <w:rFonts w:ascii="Helvetica" w:eastAsia="Times New Roman" w:hAnsi="Helvetica" w:cs="Helvetica"/>
          <w:sz w:val="24"/>
          <w:szCs w:val="24"/>
        </w:rPr>
        <w:tab/>
      </w:r>
      <w:r w:rsidRPr="008B0D14">
        <w:rPr>
          <w:rFonts w:ascii="Helvetica" w:eastAsia="Times New Roman" w:hAnsi="Helvetica" w:cs="Helvetica"/>
          <w:sz w:val="24"/>
          <w:szCs w:val="24"/>
        </w:rPr>
        <w:tab/>
        <w:t>2,000,000</w:t>
      </w:r>
    </w:p>
    <w:p w:rsidR="008B0D14" w:rsidRPr="008B0D14" w:rsidRDefault="008B0D14" w:rsidP="008B0D14">
      <w:pPr>
        <w:tabs>
          <w:tab w:val="left" w:pos="1440"/>
          <w:tab w:val="left" w:pos="1800"/>
          <w:tab w:val="right" w:leader="dot" w:pos="6480"/>
          <w:tab w:val="right" w:pos="7920"/>
          <w:tab w:val="right" w:pos="9360"/>
        </w:tabs>
        <w:spacing w:after="0" w:line="280" w:lineRule="exact"/>
        <w:rPr>
          <w:rFonts w:ascii="Helvetica" w:eastAsia="Times New Roman" w:hAnsi="Helvetica" w:cs="Helvetica"/>
          <w:b/>
          <w:bCs/>
          <w:sz w:val="24"/>
          <w:szCs w:val="24"/>
        </w:rPr>
      </w:pPr>
      <w:r w:rsidRPr="008B0D14">
        <w:rPr>
          <w:rFonts w:ascii="Helvetica" w:eastAsia="Times New Roman" w:hAnsi="Helvetica" w:cs="Helvetica"/>
          <w:sz w:val="24"/>
          <w:szCs w:val="24"/>
        </w:rPr>
        <w:tab/>
      </w:r>
      <w:r w:rsidRPr="008B0D14">
        <w:rPr>
          <w:rFonts w:ascii="Helvetica" w:eastAsia="Times New Roman" w:hAnsi="Helvetica" w:cs="Helvetica"/>
          <w:sz w:val="24"/>
          <w:szCs w:val="24"/>
        </w:rPr>
        <w:tab/>
        <w:t>Deferred tax liability</w:t>
      </w:r>
      <w:r w:rsidRPr="008B0D14">
        <w:rPr>
          <w:rFonts w:ascii="Helvetica" w:eastAsia="Times New Roman" w:hAnsi="Helvetica" w:cs="Helvetica"/>
          <w:sz w:val="24"/>
          <w:szCs w:val="24"/>
        </w:rPr>
        <w:tab/>
      </w:r>
      <w:r w:rsidRPr="008B0D14">
        <w:rPr>
          <w:rFonts w:ascii="Helvetica" w:eastAsia="Times New Roman" w:hAnsi="Helvetica" w:cs="Helvetica"/>
          <w:sz w:val="24"/>
          <w:szCs w:val="24"/>
        </w:rPr>
        <w:tab/>
      </w:r>
      <w:r w:rsidRPr="008B0D14">
        <w:rPr>
          <w:rFonts w:ascii="Helvetica" w:eastAsia="Times New Roman" w:hAnsi="Helvetica" w:cs="Helvetica"/>
          <w:sz w:val="24"/>
          <w:szCs w:val="24"/>
        </w:rPr>
        <w:tab/>
        <w:t>2,250,000</w:t>
      </w:r>
    </w:p>
    <w:p w:rsidR="008B0D14" w:rsidRPr="008B0D14" w:rsidRDefault="008B0D14" w:rsidP="008B0D14">
      <w:pPr>
        <w:tabs>
          <w:tab w:val="left" w:pos="1440"/>
        </w:tabs>
        <w:spacing w:after="0" w:line="280" w:lineRule="exact"/>
        <w:jc w:val="both"/>
        <w:rPr>
          <w:rFonts w:ascii="Helvetica" w:eastAsia="Times New Roman" w:hAnsi="Helvetica" w:cs="Helvetica"/>
          <w:sz w:val="24"/>
          <w:szCs w:val="24"/>
        </w:rPr>
      </w:pPr>
      <w:r w:rsidRPr="008B0D14">
        <w:rPr>
          <w:rFonts w:ascii="Helvetica" w:eastAsia="Times New Roman" w:hAnsi="Helvetica" w:cs="Helvetica"/>
          <w:sz w:val="24"/>
          <w:szCs w:val="24"/>
        </w:rPr>
        <w:tab/>
      </w:r>
    </w:p>
    <w:p w:rsidR="008B0D14" w:rsidRPr="008B0D14" w:rsidRDefault="008B0D14" w:rsidP="008B0D14">
      <w:pPr>
        <w:tabs>
          <w:tab w:val="left" w:pos="1440"/>
        </w:tabs>
        <w:spacing w:after="0" w:line="280" w:lineRule="exact"/>
        <w:jc w:val="both"/>
        <w:rPr>
          <w:rFonts w:ascii="Helvetica" w:eastAsia="Times New Roman" w:hAnsi="Helvetica" w:cs="Helvetica"/>
          <w:sz w:val="24"/>
          <w:szCs w:val="24"/>
        </w:rPr>
      </w:pPr>
    </w:p>
    <w:p w:rsidR="008B0D14" w:rsidRPr="008B0D14" w:rsidRDefault="008B0D14" w:rsidP="008B0D14">
      <w:pPr>
        <w:spacing w:after="0" w:line="280" w:lineRule="exact"/>
        <w:jc w:val="both"/>
        <w:rPr>
          <w:rFonts w:ascii="Helvetica" w:eastAsia="Times New Roman" w:hAnsi="Helvetica" w:cs="Helvetica"/>
          <w:sz w:val="24"/>
          <w:szCs w:val="24"/>
        </w:rPr>
      </w:pPr>
      <w:r w:rsidRPr="008B0D14">
        <w:rPr>
          <w:rFonts w:ascii="Helvetica" w:eastAsia="Times New Roman" w:hAnsi="Helvetica" w:cs="Helvetica"/>
          <w:b/>
          <w:bCs/>
          <w:sz w:val="24"/>
          <w:szCs w:val="24"/>
          <w:u w:val="single"/>
        </w:rPr>
        <w:lastRenderedPageBreak/>
        <w:t>Deferred Tax Asset</w:t>
      </w:r>
    </w:p>
    <w:p w:rsidR="008B0D14" w:rsidRPr="008B0D14" w:rsidRDefault="008B0D14" w:rsidP="008B0D14">
      <w:pPr>
        <w:spacing w:after="0" w:line="280" w:lineRule="exact"/>
        <w:jc w:val="both"/>
        <w:rPr>
          <w:rFonts w:ascii="Helvetica" w:eastAsia="Times New Roman" w:hAnsi="Helvetica" w:cs="Helvetica"/>
          <w:sz w:val="24"/>
          <w:szCs w:val="24"/>
        </w:rPr>
      </w:pPr>
    </w:p>
    <w:p w:rsidR="008B0D14" w:rsidRPr="008B0D14" w:rsidRDefault="008B0D14" w:rsidP="008B0D14">
      <w:pPr>
        <w:tabs>
          <w:tab w:val="right" w:pos="360"/>
          <w:tab w:val="left" w:pos="540"/>
        </w:tabs>
        <w:spacing w:after="0" w:line="280" w:lineRule="exact"/>
        <w:ind w:left="547" w:hanging="547"/>
        <w:jc w:val="both"/>
        <w:rPr>
          <w:rFonts w:ascii="Helvetica" w:eastAsia="Times New Roman" w:hAnsi="Helvetica" w:cs="Helvetica"/>
          <w:sz w:val="24"/>
          <w:szCs w:val="24"/>
        </w:rPr>
      </w:pPr>
      <w:r w:rsidRPr="008B0D14">
        <w:rPr>
          <w:rFonts w:ascii="Helvetica" w:eastAsia="Times New Roman" w:hAnsi="Helvetica" w:cs="Helvetica"/>
          <w:sz w:val="24"/>
          <w:szCs w:val="24"/>
        </w:rPr>
        <w:tab/>
        <w:t>7.</w:t>
      </w:r>
      <w:r w:rsidRPr="008B0D14">
        <w:rPr>
          <w:rFonts w:ascii="Helvetica" w:eastAsia="Times New Roman" w:hAnsi="Helvetica" w:cs="Helvetica"/>
          <w:sz w:val="24"/>
          <w:szCs w:val="24"/>
        </w:rPr>
        <w:tab/>
        <w:t xml:space="preserve">Due to the fact that deductible amounts can arise in the future as a result of temporary differences at the end of the current year, the deferred tax consequences of these deductible amounts should be recognized as a </w:t>
      </w:r>
      <w:r w:rsidRPr="008B0D14">
        <w:rPr>
          <w:rFonts w:ascii="Helvetica" w:eastAsia="Times New Roman" w:hAnsi="Helvetica" w:cs="Helvetica"/>
          <w:b/>
          <w:bCs/>
          <w:sz w:val="24"/>
          <w:szCs w:val="24"/>
        </w:rPr>
        <w:t xml:space="preserve">deferred tax asset. </w:t>
      </w:r>
      <w:r w:rsidRPr="008B0D14">
        <w:rPr>
          <w:rFonts w:ascii="Helvetica" w:eastAsia="Times New Roman" w:hAnsi="Helvetica" w:cs="Helvetica"/>
          <w:sz w:val="24"/>
          <w:szCs w:val="24"/>
        </w:rPr>
        <w:t>A deferred tax asset is the amount of taxes (computed in accordance with provisions of the tax law) that will be refundable in future years as a result of these deductible amounts. A key issue in accounting for income taxes is whether a deferred tax asset should be recognized in the financial records. Deferred tax assets meet the definition of an asset and therefore should be reported in the financial statements. The three main conditions for an item to be reported as an asset are: (a) it results from past transactions; (b) it gives rise to a probable benefit in the future; and (c) the company controls access to the benefits. These conditions are met by the deferred tax asset.</w:t>
      </w:r>
    </w:p>
    <w:p w:rsidR="008B0D14" w:rsidRPr="008B0D14" w:rsidRDefault="008B0D14" w:rsidP="008B0D14">
      <w:pPr>
        <w:tabs>
          <w:tab w:val="right" w:pos="360"/>
          <w:tab w:val="left" w:pos="540"/>
        </w:tabs>
        <w:spacing w:after="0" w:line="280" w:lineRule="exact"/>
        <w:ind w:left="547" w:hanging="547"/>
        <w:jc w:val="both"/>
        <w:rPr>
          <w:rFonts w:ascii="Helvetica" w:eastAsia="Times New Roman" w:hAnsi="Helvetica" w:cs="Helvetica"/>
          <w:sz w:val="24"/>
          <w:szCs w:val="24"/>
        </w:rPr>
      </w:pPr>
    </w:p>
    <w:p w:rsidR="008B0D14" w:rsidRPr="008B0D14" w:rsidRDefault="008B0D14" w:rsidP="008B0D14">
      <w:pPr>
        <w:tabs>
          <w:tab w:val="right" w:pos="360"/>
          <w:tab w:val="left" w:pos="540"/>
        </w:tabs>
        <w:spacing w:after="0" w:line="280" w:lineRule="exact"/>
        <w:ind w:left="547" w:hanging="547"/>
        <w:jc w:val="both"/>
        <w:rPr>
          <w:rFonts w:ascii="Helvetica" w:eastAsia="Times New Roman" w:hAnsi="Helvetica" w:cs="Helvetica"/>
          <w:sz w:val="24"/>
          <w:szCs w:val="24"/>
        </w:rPr>
      </w:pPr>
      <w:r w:rsidRPr="008B0D14">
        <w:rPr>
          <w:rFonts w:ascii="Helvetica" w:eastAsia="Times New Roman" w:hAnsi="Helvetica" w:cs="Helvetica"/>
          <w:sz w:val="24"/>
          <w:szCs w:val="24"/>
        </w:rPr>
        <w:tab/>
        <w:t>8.</w:t>
      </w:r>
      <w:r w:rsidRPr="008B0D14">
        <w:rPr>
          <w:rFonts w:ascii="Helvetica" w:eastAsia="Times New Roman" w:hAnsi="Helvetica" w:cs="Helvetica"/>
          <w:sz w:val="24"/>
          <w:szCs w:val="24"/>
        </w:rPr>
        <w:tab/>
        <w:t xml:space="preserve">A deferred tax asset is recognized for all deductible temporary differences. However, deferred tax assets should be reduced by a valuation allowance if, based on available evidence, it is more likely than not that some portion or all of the deferred tax </w:t>
      </w:r>
      <w:r w:rsidRPr="008B0D14">
        <w:rPr>
          <w:rFonts w:ascii="Helvetica" w:eastAsia="Times New Roman" w:hAnsi="Helvetica" w:cs="Helvetica"/>
          <w:spacing w:val="-4"/>
          <w:sz w:val="24"/>
          <w:szCs w:val="24"/>
        </w:rPr>
        <w:t xml:space="preserve">asset will not be realized. For example, assume Angie Company has a deductible temporary </w:t>
      </w:r>
      <w:r w:rsidRPr="008B0D14">
        <w:rPr>
          <w:rFonts w:ascii="Helvetica" w:eastAsia="Times New Roman" w:hAnsi="Helvetica" w:cs="Helvetica"/>
          <w:spacing w:val="-2"/>
          <w:sz w:val="24"/>
          <w:szCs w:val="24"/>
        </w:rPr>
        <w:t>difference of $2,500,000 at the end of its initial year of operations. Its tax rate is 45%, which means a deferred tax asset of $1,125,000 or ($2,500,000 X .45) is recorded. Assuming taxes payable are $2,000,000, the required journal entry is:</w:t>
      </w:r>
    </w:p>
    <w:p w:rsidR="008B0D14" w:rsidRPr="008B0D14" w:rsidRDefault="008B0D14" w:rsidP="008B0D14">
      <w:pPr>
        <w:spacing w:after="0" w:line="280" w:lineRule="exact"/>
        <w:jc w:val="both"/>
        <w:rPr>
          <w:rFonts w:ascii="Helvetica" w:eastAsia="Times New Roman" w:hAnsi="Helvetica" w:cs="Helvetica"/>
          <w:sz w:val="24"/>
          <w:szCs w:val="24"/>
        </w:rPr>
      </w:pPr>
    </w:p>
    <w:p w:rsidR="008B0D14" w:rsidRPr="008B0D14" w:rsidRDefault="008B0D14" w:rsidP="008B0D14">
      <w:pPr>
        <w:tabs>
          <w:tab w:val="left" w:pos="1440"/>
          <w:tab w:val="left" w:pos="1800"/>
          <w:tab w:val="right" w:leader="dot" w:pos="6480"/>
          <w:tab w:val="right" w:pos="7920"/>
          <w:tab w:val="right" w:pos="9360"/>
        </w:tabs>
        <w:spacing w:after="0" w:line="280" w:lineRule="exact"/>
        <w:rPr>
          <w:rFonts w:ascii="Helvetica" w:eastAsia="Times New Roman" w:hAnsi="Helvetica" w:cs="Helvetica"/>
          <w:sz w:val="24"/>
          <w:szCs w:val="24"/>
        </w:rPr>
      </w:pPr>
      <w:r w:rsidRPr="008B0D14">
        <w:rPr>
          <w:rFonts w:ascii="Helvetica" w:eastAsia="Times New Roman" w:hAnsi="Helvetica" w:cs="Helvetica"/>
          <w:sz w:val="24"/>
          <w:szCs w:val="24"/>
        </w:rPr>
        <w:tab/>
        <w:t>Income Tax Expense</w:t>
      </w:r>
      <w:r w:rsidRPr="008B0D14">
        <w:rPr>
          <w:rFonts w:ascii="Helvetica" w:eastAsia="Times New Roman" w:hAnsi="Helvetica" w:cs="Helvetica"/>
          <w:sz w:val="24"/>
          <w:szCs w:val="24"/>
        </w:rPr>
        <w:tab/>
      </w:r>
      <w:r w:rsidRPr="008B0D14">
        <w:rPr>
          <w:rFonts w:ascii="Helvetica" w:eastAsia="Times New Roman" w:hAnsi="Helvetica" w:cs="Helvetica"/>
          <w:sz w:val="24"/>
          <w:szCs w:val="24"/>
        </w:rPr>
        <w:tab/>
        <w:t>875,000</w:t>
      </w:r>
    </w:p>
    <w:p w:rsidR="008B0D14" w:rsidRPr="008B0D14" w:rsidRDefault="008B0D14" w:rsidP="008B0D14">
      <w:pPr>
        <w:tabs>
          <w:tab w:val="left" w:pos="1440"/>
          <w:tab w:val="left" w:pos="1800"/>
          <w:tab w:val="right" w:leader="dot" w:pos="6480"/>
          <w:tab w:val="right" w:pos="7920"/>
          <w:tab w:val="right" w:pos="9360"/>
        </w:tabs>
        <w:spacing w:after="0" w:line="280" w:lineRule="exact"/>
        <w:rPr>
          <w:rFonts w:ascii="Helvetica" w:eastAsia="Times New Roman" w:hAnsi="Helvetica" w:cs="Helvetica"/>
          <w:sz w:val="24"/>
          <w:szCs w:val="24"/>
        </w:rPr>
      </w:pPr>
      <w:r w:rsidRPr="008B0D14">
        <w:rPr>
          <w:rFonts w:ascii="Helvetica" w:eastAsia="Times New Roman" w:hAnsi="Helvetica" w:cs="Helvetica"/>
          <w:sz w:val="24"/>
          <w:szCs w:val="24"/>
        </w:rPr>
        <w:tab/>
        <w:t>Deferred Tax Asset</w:t>
      </w:r>
      <w:r w:rsidRPr="008B0D14">
        <w:rPr>
          <w:rFonts w:ascii="Helvetica" w:eastAsia="Times New Roman" w:hAnsi="Helvetica" w:cs="Helvetica"/>
          <w:sz w:val="24"/>
          <w:szCs w:val="24"/>
        </w:rPr>
        <w:tab/>
      </w:r>
      <w:r w:rsidRPr="008B0D14">
        <w:rPr>
          <w:rFonts w:ascii="Helvetica" w:eastAsia="Times New Roman" w:hAnsi="Helvetica" w:cs="Helvetica"/>
          <w:sz w:val="24"/>
          <w:szCs w:val="24"/>
        </w:rPr>
        <w:tab/>
        <w:t>1,125,000</w:t>
      </w:r>
    </w:p>
    <w:p w:rsidR="008B0D14" w:rsidRPr="008B0D14" w:rsidRDefault="008B0D14" w:rsidP="008B0D14">
      <w:pPr>
        <w:tabs>
          <w:tab w:val="left" w:pos="1440"/>
          <w:tab w:val="left" w:pos="1800"/>
          <w:tab w:val="right" w:leader="dot" w:pos="6480"/>
          <w:tab w:val="right" w:pos="7920"/>
          <w:tab w:val="right" w:pos="9360"/>
        </w:tabs>
        <w:spacing w:after="0" w:line="280" w:lineRule="exact"/>
        <w:rPr>
          <w:rFonts w:ascii="Helvetica" w:eastAsia="Times New Roman" w:hAnsi="Helvetica" w:cs="Helvetica"/>
          <w:sz w:val="24"/>
          <w:szCs w:val="24"/>
        </w:rPr>
      </w:pPr>
      <w:r w:rsidRPr="008B0D14">
        <w:rPr>
          <w:rFonts w:ascii="Helvetica" w:eastAsia="Times New Roman" w:hAnsi="Helvetica" w:cs="Helvetica"/>
          <w:sz w:val="24"/>
          <w:szCs w:val="24"/>
        </w:rPr>
        <w:tab/>
      </w:r>
      <w:r w:rsidRPr="008B0D14">
        <w:rPr>
          <w:rFonts w:ascii="Helvetica" w:eastAsia="Times New Roman" w:hAnsi="Helvetica" w:cs="Helvetica"/>
          <w:sz w:val="24"/>
          <w:szCs w:val="24"/>
        </w:rPr>
        <w:tab/>
        <w:t>Income Tax Payable</w:t>
      </w:r>
      <w:r w:rsidRPr="008B0D14">
        <w:rPr>
          <w:rFonts w:ascii="Helvetica" w:eastAsia="Times New Roman" w:hAnsi="Helvetica" w:cs="Helvetica"/>
          <w:sz w:val="24"/>
          <w:szCs w:val="24"/>
        </w:rPr>
        <w:tab/>
      </w:r>
      <w:r w:rsidRPr="008B0D14">
        <w:rPr>
          <w:rFonts w:ascii="Helvetica" w:eastAsia="Times New Roman" w:hAnsi="Helvetica" w:cs="Helvetica"/>
          <w:sz w:val="24"/>
          <w:szCs w:val="24"/>
        </w:rPr>
        <w:tab/>
      </w:r>
      <w:r w:rsidRPr="008B0D14">
        <w:rPr>
          <w:rFonts w:ascii="Helvetica" w:eastAsia="Times New Roman" w:hAnsi="Helvetica" w:cs="Helvetica"/>
          <w:sz w:val="24"/>
          <w:szCs w:val="24"/>
        </w:rPr>
        <w:tab/>
        <w:t>2,000,000</w:t>
      </w:r>
    </w:p>
    <w:p w:rsidR="008B0D14" w:rsidRPr="008B0D14" w:rsidRDefault="008B0D14" w:rsidP="008B0D14">
      <w:pPr>
        <w:tabs>
          <w:tab w:val="right" w:pos="360"/>
          <w:tab w:val="left" w:pos="540"/>
        </w:tabs>
        <w:spacing w:after="0" w:line="280" w:lineRule="exact"/>
        <w:ind w:left="547" w:hanging="547"/>
        <w:jc w:val="both"/>
        <w:rPr>
          <w:rFonts w:ascii="Helvetica" w:eastAsia="Times New Roman" w:hAnsi="Helvetica" w:cs="Helvetica"/>
          <w:sz w:val="24"/>
          <w:szCs w:val="24"/>
        </w:rPr>
      </w:pPr>
    </w:p>
    <w:p w:rsidR="008B0D14" w:rsidRPr="008B0D14" w:rsidRDefault="008B0D14" w:rsidP="008B0D14">
      <w:pPr>
        <w:tabs>
          <w:tab w:val="right" w:pos="360"/>
          <w:tab w:val="left" w:pos="540"/>
        </w:tabs>
        <w:spacing w:after="0" w:line="280" w:lineRule="exact"/>
        <w:ind w:left="547" w:hanging="547"/>
        <w:jc w:val="both"/>
        <w:rPr>
          <w:rFonts w:ascii="Helvetica" w:eastAsia="Times New Roman" w:hAnsi="Helvetica" w:cs="Helvetica"/>
          <w:sz w:val="24"/>
          <w:szCs w:val="24"/>
        </w:rPr>
      </w:pPr>
      <w:r w:rsidRPr="008B0D14">
        <w:rPr>
          <w:rFonts w:ascii="Helvetica" w:eastAsia="Times New Roman" w:hAnsi="Helvetica" w:cs="Helvetica"/>
          <w:sz w:val="24"/>
          <w:szCs w:val="24"/>
        </w:rPr>
        <w:tab/>
      </w:r>
      <w:r w:rsidRPr="008B0D14">
        <w:rPr>
          <w:rFonts w:ascii="Helvetica" w:eastAsia="Times New Roman" w:hAnsi="Helvetica" w:cs="Helvetica"/>
          <w:sz w:val="24"/>
          <w:szCs w:val="24"/>
        </w:rPr>
        <w:tab/>
        <w:t>If, after further consideration, it is considered more likely than not that $300,000 of this deferred tax asset will not be realized then the following entry is appropriate.</w:t>
      </w:r>
    </w:p>
    <w:p w:rsidR="008B0D14" w:rsidRPr="008B0D14" w:rsidRDefault="008B0D14" w:rsidP="008B0D14">
      <w:pPr>
        <w:spacing w:after="0" w:line="280" w:lineRule="exact"/>
        <w:rPr>
          <w:rFonts w:ascii="Helvetica" w:eastAsia="Times New Roman" w:hAnsi="Helvetica" w:cs="Helvetica"/>
          <w:sz w:val="24"/>
          <w:szCs w:val="24"/>
        </w:rPr>
      </w:pPr>
    </w:p>
    <w:p w:rsidR="008B0D14" w:rsidRPr="008B0D14" w:rsidRDefault="008B0D14" w:rsidP="008B0D14">
      <w:pPr>
        <w:tabs>
          <w:tab w:val="left" w:pos="1440"/>
          <w:tab w:val="left" w:pos="1800"/>
          <w:tab w:val="right" w:leader="dot" w:pos="6480"/>
          <w:tab w:val="right" w:pos="7920"/>
          <w:tab w:val="right" w:pos="9000"/>
        </w:tabs>
        <w:spacing w:after="60" w:line="280" w:lineRule="exact"/>
        <w:rPr>
          <w:rFonts w:ascii="Helvetica" w:eastAsia="Times New Roman" w:hAnsi="Helvetica" w:cs="Helvetica"/>
          <w:sz w:val="24"/>
          <w:szCs w:val="24"/>
        </w:rPr>
      </w:pPr>
      <w:r w:rsidRPr="008B0D14">
        <w:rPr>
          <w:rFonts w:ascii="Helvetica" w:eastAsia="Times New Roman" w:hAnsi="Helvetica" w:cs="Helvetica"/>
          <w:sz w:val="24"/>
          <w:szCs w:val="24"/>
        </w:rPr>
        <w:tab/>
        <w:t>Income Tax Expense</w:t>
      </w:r>
      <w:r w:rsidRPr="008B0D14">
        <w:rPr>
          <w:rFonts w:ascii="Helvetica" w:eastAsia="Times New Roman" w:hAnsi="Helvetica" w:cs="Helvetica"/>
          <w:sz w:val="24"/>
          <w:szCs w:val="24"/>
        </w:rPr>
        <w:tab/>
      </w:r>
      <w:r w:rsidRPr="008B0D14">
        <w:rPr>
          <w:rFonts w:ascii="Helvetica" w:eastAsia="Times New Roman" w:hAnsi="Helvetica" w:cs="Helvetica"/>
          <w:sz w:val="24"/>
          <w:szCs w:val="24"/>
        </w:rPr>
        <w:tab/>
        <w:t>300,000</w:t>
      </w:r>
    </w:p>
    <w:p w:rsidR="008B0D14" w:rsidRPr="008B0D14" w:rsidRDefault="008B0D14" w:rsidP="008B0D14">
      <w:pPr>
        <w:tabs>
          <w:tab w:val="left" w:pos="1440"/>
          <w:tab w:val="left" w:pos="1800"/>
          <w:tab w:val="right" w:leader="dot" w:pos="6480"/>
          <w:tab w:val="right" w:pos="7920"/>
          <w:tab w:val="right" w:pos="9000"/>
        </w:tabs>
        <w:spacing w:after="60" w:line="280" w:lineRule="exact"/>
        <w:rPr>
          <w:rFonts w:ascii="Helvetica" w:eastAsia="Times New Roman" w:hAnsi="Helvetica" w:cs="Helvetica"/>
          <w:sz w:val="24"/>
          <w:szCs w:val="24"/>
        </w:rPr>
      </w:pPr>
      <w:r w:rsidRPr="008B0D14">
        <w:rPr>
          <w:rFonts w:ascii="Helvetica" w:eastAsia="Times New Roman" w:hAnsi="Helvetica" w:cs="Helvetica"/>
          <w:sz w:val="24"/>
          <w:szCs w:val="24"/>
        </w:rPr>
        <w:tab/>
      </w:r>
      <w:r w:rsidRPr="008B0D14">
        <w:rPr>
          <w:rFonts w:ascii="Helvetica" w:eastAsia="Times New Roman" w:hAnsi="Helvetica" w:cs="Helvetica"/>
          <w:sz w:val="24"/>
          <w:szCs w:val="24"/>
        </w:rPr>
        <w:tab/>
        <w:t>Allowance to Reduce Deferred Tax Asset</w:t>
      </w:r>
    </w:p>
    <w:p w:rsidR="008B0D14" w:rsidRPr="008B0D14" w:rsidRDefault="008B0D14" w:rsidP="008B0D14">
      <w:pPr>
        <w:tabs>
          <w:tab w:val="left" w:pos="1440"/>
          <w:tab w:val="left" w:pos="1800"/>
          <w:tab w:val="right" w:leader="dot" w:pos="6480"/>
          <w:tab w:val="right" w:pos="7920"/>
          <w:tab w:val="right" w:pos="9000"/>
        </w:tabs>
        <w:spacing w:after="0" w:line="280" w:lineRule="exact"/>
        <w:rPr>
          <w:rFonts w:ascii="Helvetica" w:eastAsia="Times New Roman" w:hAnsi="Helvetica" w:cs="Helvetica"/>
          <w:sz w:val="24"/>
          <w:szCs w:val="24"/>
        </w:rPr>
      </w:pPr>
      <w:r w:rsidRPr="008B0D14">
        <w:rPr>
          <w:rFonts w:ascii="Helvetica" w:eastAsia="Times New Roman" w:hAnsi="Helvetica" w:cs="Helvetica"/>
          <w:sz w:val="24"/>
          <w:szCs w:val="24"/>
        </w:rPr>
        <w:tab/>
      </w:r>
      <w:r w:rsidRPr="008B0D14">
        <w:rPr>
          <w:rFonts w:ascii="Helvetica" w:eastAsia="Times New Roman" w:hAnsi="Helvetica" w:cs="Helvetica"/>
          <w:sz w:val="24"/>
          <w:szCs w:val="24"/>
        </w:rPr>
        <w:tab/>
        <w:t xml:space="preserve">  </w:t>
      </w:r>
      <w:proofErr w:type="gramStart"/>
      <w:r w:rsidRPr="008B0D14">
        <w:rPr>
          <w:rFonts w:ascii="Helvetica" w:eastAsia="Times New Roman" w:hAnsi="Helvetica" w:cs="Helvetica"/>
          <w:sz w:val="24"/>
          <w:szCs w:val="24"/>
        </w:rPr>
        <w:t>to</w:t>
      </w:r>
      <w:proofErr w:type="gramEnd"/>
      <w:r w:rsidRPr="008B0D14">
        <w:rPr>
          <w:rFonts w:ascii="Helvetica" w:eastAsia="Times New Roman" w:hAnsi="Helvetica" w:cs="Helvetica"/>
          <w:sz w:val="24"/>
          <w:szCs w:val="24"/>
        </w:rPr>
        <w:t xml:space="preserve"> Expected Realizable Value</w:t>
      </w:r>
      <w:r w:rsidRPr="008B0D14">
        <w:rPr>
          <w:rFonts w:ascii="Helvetica" w:eastAsia="Times New Roman" w:hAnsi="Helvetica" w:cs="Helvetica"/>
          <w:sz w:val="24"/>
          <w:szCs w:val="24"/>
        </w:rPr>
        <w:tab/>
      </w:r>
      <w:r w:rsidRPr="008B0D14">
        <w:rPr>
          <w:rFonts w:ascii="Helvetica" w:eastAsia="Times New Roman" w:hAnsi="Helvetica" w:cs="Helvetica"/>
          <w:sz w:val="24"/>
          <w:szCs w:val="24"/>
        </w:rPr>
        <w:tab/>
      </w:r>
      <w:r w:rsidRPr="008B0D14">
        <w:rPr>
          <w:rFonts w:ascii="Helvetica" w:eastAsia="Times New Roman" w:hAnsi="Helvetica" w:cs="Helvetica"/>
          <w:sz w:val="24"/>
          <w:szCs w:val="24"/>
        </w:rPr>
        <w:tab/>
        <w:t>300,000</w:t>
      </w:r>
    </w:p>
    <w:p w:rsidR="008B0D14" w:rsidRPr="008B0D14" w:rsidRDefault="008B0D14" w:rsidP="008B0D14">
      <w:pPr>
        <w:spacing w:after="0" w:line="280" w:lineRule="exact"/>
        <w:rPr>
          <w:rFonts w:ascii="Helvetica" w:eastAsia="Times New Roman" w:hAnsi="Helvetica" w:cs="Helvetica"/>
          <w:sz w:val="24"/>
          <w:szCs w:val="24"/>
        </w:rPr>
      </w:pPr>
    </w:p>
    <w:p w:rsidR="008B0D14" w:rsidRPr="008B0D14" w:rsidRDefault="008B0D14" w:rsidP="008B0D14">
      <w:pPr>
        <w:tabs>
          <w:tab w:val="right" w:pos="360"/>
          <w:tab w:val="left" w:pos="540"/>
        </w:tabs>
        <w:spacing w:after="0" w:line="280" w:lineRule="exact"/>
        <w:ind w:left="547" w:hanging="547"/>
        <w:jc w:val="both"/>
        <w:rPr>
          <w:rFonts w:ascii="Helvetica" w:eastAsia="Times New Roman" w:hAnsi="Helvetica" w:cs="Helvetica"/>
          <w:sz w:val="24"/>
          <w:szCs w:val="24"/>
        </w:rPr>
      </w:pPr>
      <w:r w:rsidRPr="008B0D14">
        <w:rPr>
          <w:rFonts w:ascii="Helvetica" w:eastAsia="Times New Roman" w:hAnsi="Helvetica" w:cs="Helvetica"/>
          <w:sz w:val="24"/>
          <w:szCs w:val="24"/>
        </w:rPr>
        <w:tab/>
      </w:r>
      <w:r w:rsidRPr="008B0D14">
        <w:rPr>
          <w:rFonts w:ascii="Helvetica" w:eastAsia="Times New Roman" w:hAnsi="Helvetica" w:cs="Helvetica"/>
          <w:sz w:val="24"/>
          <w:szCs w:val="24"/>
        </w:rPr>
        <w:tab/>
        <w:t>The Allowance account is a contra account and is deducted from the Deferred Tax Asset account in the financial statements.</w:t>
      </w:r>
    </w:p>
    <w:p w:rsidR="008B0D14" w:rsidRPr="008B0D14" w:rsidRDefault="008B0D14" w:rsidP="008B0D14">
      <w:pPr>
        <w:spacing w:after="0" w:line="280" w:lineRule="exact"/>
        <w:rPr>
          <w:rFonts w:ascii="Helvetica" w:eastAsia="Times New Roman" w:hAnsi="Helvetica" w:cs="Helvetica"/>
          <w:sz w:val="24"/>
          <w:szCs w:val="24"/>
        </w:rPr>
      </w:pPr>
    </w:p>
    <w:p w:rsidR="008B0D14" w:rsidRPr="008B0D14" w:rsidRDefault="008B0D14" w:rsidP="008B0D14">
      <w:pPr>
        <w:tabs>
          <w:tab w:val="right" w:pos="360"/>
          <w:tab w:val="left" w:pos="540"/>
        </w:tabs>
        <w:spacing w:after="0" w:line="280" w:lineRule="exact"/>
        <w:ind w:left="547" w:hanging="547"/>
        <w:jc w:val="both"/>
        <w:rPr>
          <w:rFonts w:ascii="Helvetica" w:eastAsia="Times New Roman" w:hAnsi="Helvetica" w:cs="Helvetica"/>
          <w:sz w:val="24"/>
          <w:szCs w:val="24"/>
        </w:rPr>
      </w:pPr>
      <w:r w:rsidRPr="008B0D14">
        <w:rPr>
          <w:rFonts w:ascii="Helvetica" w:eastAsia="Times New Roman" w:hAnsi="Helvetica" w:cs="Helvetica"/>
          <w:sz w:val="24"/>
          <w:szCs w:val="24"/>
        </w:rPr>
        <w:tab/>
        <w:t>9.</w:t>
      </w:r>
      <w:r w:rsidRPr="008B0D14">
        <w:rPr>
          <w:rFonts w:ascii="Helvetica" w:eastAsia="Times New Roman" w:hAnsi="Helvetica" w:cs="Helvetica"/>
          <w:sz w:val="24"/>
          <w:szCs w:val="24"/>
        </w:rPr>
        <w:tab/>
        <w:t>The formula to compute income tax expense (benefit) is as follows:</w:t>
      </w:r>
    </w:p>
    <w:p w:rsidR="008B0D14" w:rsidRPr="008B0D14" w:rsidRDefault="008B0D14" w:rsidP="008B0D14">
      <w:pPr>
        <w:spacing w:after="0" w:line="280" w:lineRule="exact"/>
        <w:rPr>
          <w:rFonts w:ascii="Helvetica" w:eastAsia="Times New Roman" w:hAnsi="Helvetica" w:cs="Helvetica"/>
          <w:sz w:val="24"/>
          <w:szCs w:val="24"/>
        </w:rPr>
      </w:pPr>
    </w:p>
    <w:p w:rsidR="008B0D14" w:rsidRPr="008B0D14" w:rsidRDefault="008B0D14" w:rsidP="008B0D14">
      <w:pPr>
        <w:tabs>
          <w:tab w:val="center" w:pos="1440"/>
          <w:tab w:val="center" w:pos="2880"/>
          <w:tab w:val="center" w:pos="4320"/>
          <w:tab w:val="center" w:pos="5760"/>
          <w:tab w:val="center" w:pos="7200"/>
        </w:tabs>
        <w:spacing w:after="0" w:line="280" w:lineRule="exact"/>
        <w:rPr>
          <w:rFonts w:ascii="Helvetica" w:eastAsia="Times New Roman" w:hAnsi="Helvetica" w:cs="Helvetica"/>
          <w:sz w:val="24"/>
          <w:szCs w:val="24"/>
        </w:rPr>
      </w:pPr>
      <w:r w:rsidRPr="008B0D14">
        <w:rPr>
          <w:rFonts w:ascii="Helvetica" w:eastAsia="Times New Roman" w:hAnsi="Helvetica" w:cs="Helvetica"/>
          <w:sz w:val="24"/>
          <w:szCs w:val="24"/>
        </w:rPr>
        <w:tab/>
        <w:t>Income Tax</w:t>
      </w:r>
      <w:r w:rsidRPr="008B0D14">
        <w:rPr>
          <w:rFonts w:ascii="Helvetica" w:eastAsia="Times New Roman" w:hAnsi="Helvetica" w:cs="Helvetica"/>
          <w:sz w:val="24"/>
          <w:szCs w:val="24"/>
        </w:rPr>
        <w:tab/>
      </w:r>
      <w:r w:rsidRPr="008B0D14">
        <w:rPr>
          <w:rFonts w:ascii="Helvetica" w:eastAsia="Times New Roman" w:hAnsi="Helvetica" w:cs="Helvetica"/>
          <w:sz w:val="24"/>
          <w:szCs w:val="24"/>
        </w:rPr>
        <w:tab/>
        <w:t>Change in</w:t>
      </w:r>
      <w:r w:rsidRPr="008B0D14">
        <w:rPr>
          <w:rFonts w:ascii="Helvetica" w:eastAsia="Times New Roman" w:hAnsi="Helvetica" w:cs="Helvetica"/>
          <w:sz w:val="24"/>
          <w:szCs w:val="24"/>
        </w:rPr>
        <w:tab/>
      </w:r>
      <w:r w:rsidRPr="008B0D14">
        <w:rPr>
          <w:rFonts w:ascii="Helvetica" w:eastAsia="Times New Roman" w:hAnsi="Helvetica" w:cs="Helvetica"/>
          <w:sz w:val="24"/>
          <w:szCs w:val="24"/>
        </w:rPr>
        <w:tab/>
        <w:t>Total Income</w:t>
      </w:r>
    </w:p>
    <w:p w:rsidR="008B0D14" w:rsidRPr="008B0D14" w:rsidRDefault="008B0D14" w:rsidP="008B0D14">
      <w:pPr>
        <w:tabs>
          <w:tab w:val="center" w:pos="1440"/>
          <w:tab w:val="center" w:pos="2880"/>
          <w:tab w:val="center" w:pos="4320"/>
          <w:tab w:val="center" w:pos="5760"/>
          <w:tab w:val="center" w:pos="7200"/>
        </w:tabs>
        <w:spacing w:after="0" w:line="280" w:lineRule="exact"/>
        <w:rPr>
          <w:rFonts w:ascii="Helvetica" w:eastAsia="Times New Roman" w:hAnsi="Helvetica" w:cs="Helvetica"/>
          <w:sz w:val="24"/>
          <w:szCs w:val="24"/>
        </w:rPr>
      </w:pPr>
      <w:r w:rsidRPr="008B0D14">
        <w:rPr>
          <w:rFonts w:ascii="Helvetica" w:eastAsia="Times New Roman" w:hAnsi="Helvetica" w:cs="Helvetica"/>
          <w:sz w:val="24"/>
          <w:szCs w:val="24"/>
        </w:rPr>
        <w:tab/>
        <w:t>Payable or</w:t>
      </w:r>
      <w:r w:rsidRPr="008B0D14">
        <w:rPr>
          <w:rFonts w:ascii="Helvetica" w:eastAsia="Times New Roman" w:hAnsi="Helvetica" w:cs="Helvetica"/>
          <w:sz w:val="24"/>
          <w:szCs w:val="24"/>
        </w:rPr>
        <w:tab/>
      </w:r>
      <w:r w:rsidRPr="008B0D14">
        <w:rPr>
          <w:rFonts w:ascii="Helvetica" w:eastAsia="Times New Roman" w:hAnsi="Helvetica" w:cs="Helvetica"/>
          <w:sz w:val="24"/>
          <w:szCs w:val="24"/>
        </w:rPr>
        <w:sym w:font="Symbol" w:char="F0B1"/>
      </w:r>
      <w:r w:rsidRPr="008B0D14">
        <w:rPr>
          <w:rFonts w:ascii="Helvetica" w:eastAsia="Times New Roman" w:hAnsi="Helvetica" w:cs="Helvetica"/>
          <w:sz w:val="24"/>
          <w:szCs w:val="24"/>
        </w:rPr>
        <w:tab/>
        <w:t>Deferred Income</w:t>
      </w:r>
      <w:r w:rsidRPr="008B0D14">
        <w:rPr>
          <w:rFonts w:ascii="Helvetica" w:eastAsia="Times New Roman" w:hAnsi="Helvetica" w:cs="Helvetica"/>
          <w:sz w:val="24"/>
          <w:szCs w:val="24"/>
        </w:rPr>
        <w:tab/>
        <w:t>=</w:t>
      </w:r>
      <w:r w:rsidRPr="008B0D14">
        <w:rPr>
          <w:rFonts w:ascii="Helvetica" w:eastAsia="Times New Roman" w:hAnsi="Helvetica" w:cs="Helvetica"/>
          <w:sz w:val="24"/>
          <w:szCs w:val="24"/>
        </w:rPr>
        <w:tab/>
        <w:t>Tax Expense</w:t>
      </w:r>
    </w:p>
    <w:p w:rsidR="008B0D14" w:rsidRPr="008B0D14" w:rsidRDefault="008B0D14" w:rsidP="008B0D14">
      <w:pPr>
        <w:tabs>
          <w:tab w:val="center" w:pos="1440"/>
          <w:tab w:val="center" w:pos="2880"/>
          <w:tab w:val="center" w:pos="4320"/>
          <w:tab w:val="center" w:pos="5760"/>
          <w:tab w:val="center" w:pos="7200"/>
        </w:tabs>
        <w:spacing w:after="0" w:line="280" w:lineRule="exact"/>
        <w:rPr>
          <w:rFonts w:ascii="Helvetica" w:eastAsia="Times New Roman" w:hAnsi="Helvetica" w:cs="Helvetica"/>
          <w:sz w:val="24"/>
          <w:szCs w:val="24"/>
        </w:rPr>
      </w:pPr>
      <w:r w:rsidRPr="008B0D14">
        <w:rPr>
          <w:rFonts w:ascii="Helvetica" w:eastAsia="Times New Roman" w:hAnsi="Helvetica" w:cs="Helvetica"/>
          <w:sz w:val="24"/>
          <w:szCs w:val="24"/>
        </w:rPr>
        <w:tab/>
        <w:t>Refundable</w:t>
      </w:r>
      <w:r w:rsidRPr="008B0D14">
        <w:rPr>
          <w:rFonts w:ascii="Helvetica" w:eastAsia="Times New Roman" w:hAnsi="Helvetica" w:cs="Helvetica"/>
          <w:sz w:val="24"/>
          <w:szCs w:val="24"/>
        </w:rPr>
        <w:tab/>
      </w:r>
      <w:r w:rsidRPr="008B0D14">
        <w:rPr>
          <w:rFonts w:ascii="Helvetica" w:eastAsia="Times New Roman" w:hAnsi="Helvetica" w:cs="Helvetica"/>
          <w:sz w:val="24"/>
          <w:szCs w:val="24"/>
        </w:rPr>
        <w:tab/>
        <w:t>Taxes</w:t>
      </w:r>
      <w:r w:rsidRPr="008B0D14">
        <w:rPr>
          <w:rFonts w:ascii="Helvetica" w:eastAsia="Times New Roman" w:hAnsi="Helvetica" w:cs="Helvetica"/>
          <w:sz w:val="24"/>
          <w:szCs w:val="24"/>
        </w:rPr>
        <w:tab/>
      </w:r>
      <w:r w:rsidRPr="008B0D14">
        <w:rPr>
          <w:rFonts w:ascii="Helvetica" w:eastAsia="Times New Roman" w:hAnsi="Helvetica" w:cs="Helvetica"/>
          <w:sz w:val="24"/>
          <w:szCs w:val="24"/>
        </w:rPr>
        <w:tab/>
        <w:t>or Benefits</w:t>
      </w:r>
    </w:p>
    <w:p w:rsidR="008B0D14" w:rsidRPr="008B0D14" w:rsidRDefault="008B0D14" w:rsidP="008B0D14">
      <w:pPr>
        <w:spacing w:after="0" w:line="280" w:lineRule="exact"/>
        <w:rPr>
          <w:rFonts w:ascii="Helvetica" w:eastAsia="Times New Roman" w:hAnsi="Helvetica" w:cs="Helvetica"/>
          <w:sz w:val="24"/>
          <w:szCs w:val="24"/>
        </w:rPr>
      </w:pPr>
    </w:p>
    <w:p w:rsidR="008B0D14" w:rsidRPr="008B0D14" w:rsidRDefault="008B0D14" w:rsidP="008B0D14">
      <w:pPr>
        <w:tabs>
          <w:tab w:val="right" w:pos="360"/>
          <w:tab w:val="left" w:pos="540"/>
        </w:tabs>
        <w:spacing w:after="0" w:line="280" w:lineRule="exact"/>
        <w:ind w:left="547" w:hanging="547"/>
        <w:jc w:val="both"/>
        <w:rPr>
          <w:rFonts w:ascii="Helvetica" w:eastAsia="Times New Roman" w:hAnsi="Helvetica" w:cs="Helvetica"/>
          <w:sz w:val="24"/>
          <w:szCs w:val="24"/>
        </w:rPr>
      </w:pPr>
      <w:r w:rsidRPr="008B0D14">
        <w:rPr>
          <w:rFonts w:ascii="Helvetica" w:eastAsia="Times New Roman" w:hAnsi="Helvetica" w:cs="Helvetica"/>
          <w:sz w:val="24"/>
          <w:szCs w:val="24"/>
        </w:rPr>
        <w:lastRenderedPageBreak/>
        <w:tab/>
      </w:r>
      <w:r w:rsidRPr="008B0D14">
        <w:rPr>
          <w:rFonts w:ascii="Helvetica" w:eastAsia="Times New Roman" w:hAnsi="Helvetica" w:cs="Helvetica"/>
          <w:sz w:val="24"/>
          <w:szCs w:val="24"/>
        </w:rPr>
        <w:tab/>
        <w:t>In the income statement or in the notes to the financial statements, the significant compo</w:t>
      </w:r>
      <w:r w:rsidRPr="008B0D14">
        <w:rPr>
          <w:rFonts w:ascii="Helvetica" w:eastAsia="Times New Roman" w:hAnsi="Helvetica" w:cs="Helvetica"/>
          <w:sz w:val="24"/>
          <w:szCs w:val="24"/>
        </w:rPr>
        <w:softHyphen/>
        <w:t>nents of income tax expense attributable to continuing operations should be disclosed.</w:t>
      </w:r>
    </w:p>
    <w:p w:rsidR="008B0D14" w:rsidRPr="008B0D14" w:rsidRDefault="008B0D14" w:rsidP="008B0D14">
      <w:pPr>
        <w:spacing w:after="0" w:line="280" w:lineRule="exact"/>
        <w:rPr>
          <w:rFonts w:ascii="Helvetica" w:eastAsia="Times New Roman" w:hAnsi="Helvetica" w:cs="Helvetica"/>
          <w:b/>
          <w:bCs/>
          <w:sz w:val="24"/>
          <w:szCs w:val="24"/>
          <w:u w:val="single"/>
        </w:rPr>
      </w:pPr>
    </w:p>
    <w:p w:rsidR="008B0D14" w:rsidRPr="008B0D14" w:rsidRDefault="008B0D14" w:rsidP="008B0D14">
      <w:pPr>
        <w:spacing w:after="0" w:line="280" w:lineRule="exact"/>
        <w:rPr>
          <w:rFonts w:ascii="Helvetica" w:eastAsia="Times New Roman" w:hAnsi="Helvetica" w:cs="Helvetica"/>
          <w:sz w:val="24"/>
          <w:szCs w:val="24"/>
        </w:rPr>
      </w:pPr>
      <w:r w:rsidRPr="008B0D14">
        <w:rPr>
          <w:rFonts w:ascii="Helvetica" w:eastAsia="Times New Roman" w:hAnsi="Helvetica" w:cs="Helvetica"/>
          <w:b/>
          <w:bCs/>
          <w:sz w:val="24"/>
          <w:szCs w:val="24"/>
          <w:u w:val="single"/>
        </w:rPr>
        <w:t>Temporary and Permanent Differences</w:t>
      </w:r>
    </w:p>
    <w:p w:rsidR="008B0D14" w:rsidRPr="008B0D14" w:rsidRDefault="008B0D14" w:rsidP="008B0D14">
      <w:pPr>
        <w:spacing w:after="0" w:line="280" w:lineRule="exact"/>
        <w:rPr>
          <w:rFonts w:ascii="Helvetica" w:eastAsia="Times New Roman" w:hAnsi="Helvetica" w:cs="Helvetica"/>
          <w:sz w:val="24"/>
          <w:szCs w:val="24"/>
        </w:rPr>
      </w:pPr>
    </w:p>
    <w:p w:rsidR="008B0D14" w:rsidRPr="008B0D14" w:rsidRDefault="008B0D14" w:rsidP="008B0D14">
      <w:pPr>
        <w:tabs>
          <w:tab w:val="right" w:pos="360"/>
          <w:tab w:val="left" w:pos="540"/>
        </w:tabs>
        <w:spacing w:after="0" w:line="280" w:lineRule="exact"/>
        <w:ind w:left="547" w:hanging="547"/>
        <w:jc w:val="both"/>
        <w:rPr>
          <w:rFonts w:ascii="Helvetica" w:eastAsia="Times New Roman" w:hAnsi="Helvetica" w:cs="Helvetica"/>
          <w:sz w:val="24"/>
          <w:szCs w:val="24"/>
        </w:rPr>
      </w:pPr>
      <w:r w:rsidRPr="008B0D14">
        <w:rPr>
          <w:rFonts w:ascii="Helvetica" w:eastAsia="Times New Roman" w:hAnsi="Helvetica" w:cs="Helvetica"/>
          <w:sz w:val="24"/>
          <w:szCs w:val="24"/>
        </w:rPr>
        <w:tab/>
        <w:t>10.</w:t>
      </w:r>
      <w:r w:rsidRPr="008B0D14">
        <w:rPr>
          <w:rFonts w:ascii="Helvetica" w:eastAsia="Times New Roman" w:hAnsi="Helvetica" w:cs="Helvetica"/>
          <w:sz w:val="24"/>
          <w:szCs w:val="24"/>
        </w:rPr>
        <w:tab/>
        <w:t xml:space="preserve">Differences between taxable income and accounting income can be categorized </w:t>
      </w:r>
      <w:r w:rsidRPr="008B0D14">
        <w:rPr>
          <w:rFonts w:ascii="Helvetica" w:eastAsia="Times New Roman" w:hAnsi="Helvetica" w:cs="Helvetica"/>
          <w:spacing w:val="-2"/>
          <w:sz w:val="24"/>
          <w:szCs w:val="24"/>
        </w:rPr>
        <w:t xml:space="preserve">as either (a) </w:t>
      </w:r>
      <w:r w:rsidRPr="008B0D14">
        <w:rPr>
          <w:rFonts w:ascii="Helvetica" w:eastAsia="Times New Roman" w:hAnsi="Helvetica" w:cs="Helvetica"/>
          <w:b/>
          <w:bCs/>
          <w:spacing w:val="-2"/>
          <w:sz w:val="24"/>
          <w:szCs w:val="24"/>
        </w:rPr>
        <w:t xml:space="preserve">temporary differences </w:t>
      </w:r>
      <w:r w:rsidRPr="008B0D14">
        <w:rPr>
          <w:rFonts w:ascii="Helvetica" w:eastAsia="Times New Roman" w:hAnsi="Helvetica" w:cs="Helvetica"/>
          <w:spacing w:val="-2"/>
          <w:sz w:val="24"/>
          <w:szCs w:val="24"/>
        </w:rPr>
        <w:t xml:space="preserve">or (b) </w:t>
      </w:r>
      <w:r w:rsidRPr="008B0D14">
        <w:rPr>
          <w:rFonts w:ascii="Helvetica" w:eastAsia="Times New Roman" w:hAnsi="Helvetica" w:cs="Helvetica"/>
          <w:b/>
          <w:bCs/>
          <w:spacing w:val="-2"/>
          <w:sz w:val="24"/>
          <w:szCs w:val="24"/>
        </w:rPr>
        <w:t xml:space="preserve">permanent differences. </w:t>
      </w:r>
      <w:r w:rsidRPr="008B0D14">
        <w:rPr>
          <w:rFonts w:ascii="Helvetica" w:eastAsia="Times New Roman" w:hAnsi="Helvetica" w:cs="Helvetica"/>
          <w:spacing w:val="-2"/>
          <w:sz w:val="24"/>
          <w:szCs w:val="24"/>
        </w:rPr>
        <w:t xml:space="preserve">Temporary differences </w:t>
      </w:r>
      <w:r w:rsidRPr="008B0D14">
        <w:rPr>
          <w:rFonts w:ascii="Helvetica" w:eastAsia="Times New Roman" w:hAnsi="Helvetica" w:cs="Helvetica"/>
          <w:sz w:val="24"/>
          <w:szCs w:val="24"/>
        </w:rPr>
        <w:t>arise when the tax basis of an asset or liability and its reported amount in the financial statements differ. This difference will reverse and result in taxable or deductible amounts in future years as the asset is recovered or the liability is settled at its reported amount.</w:t>
      </w:r>
    </w:p>
    <w:p w:rsidR="008B0D14" w:rsidRPr="008B0D14" w:rsidRDefault="008B0D14" w:rsidP="008B0D14">
      <w:pPr>
        <w:spacing w:after="0" w:line="280" w:lineRule="exact"/>
        <w:jc w:val="both"/>
        <w:rPr>
          <w:rFonts w:ascii="Helvetica" w:eastAsia="Times New Roman" w:hAnsi="Helvetica" w:cs="Helvetica"/>
          <w:sz w:val="24"/>
          <w:szCs w:val="24"/>
        </w:rPr>
      </w:pPr>
    </w:p>
    <w:p w:rsidR="008B0D14" w:rsidRPr="008B0D14" w:rsidRDefault="008B0D14" w:rsidP="008B0D14">
      <w:pPr>
        <w:tabs>
          <w:tab w:val="right" w:pos="360"/>
          <w:tab w:val="left" w:pos="540"/>
        </w:tabs>
        <w:spacing w:after="0" w:line="280" w:lineRule="exact"/>
        <w:ind w:left="547" w:hanging="547"/>
        <w:jc w:val="both"/>
        <w:rPr>
          <w:rFonts w:ascii="Helvetica" w:eastAsia="Times New Roman" w:hAnsi="Helvetica" w:cs="Helvetica"/>
          <w:sz w:val="24"/>
          <w:szCs w:val="24"/>
        </w:rPr>
      </w:pPr>
      <w:r w:rsidRPr="008B0D14">
        <w:rPr>
          <w:rFonts w:ascii="Helvetica" w:eastAsia="Times New Roman" w:hAnsi="Helvetica" w:cs="Helvetica"/>
          <w:sz w:val="24"/>
          <w:szCs w:val="24"/>
        </w:rPr>
        <w:tab/>
        <w:t>11.</w:t>
      </w:r>
      <w:r w:rsidRPr="008B0D14">
        <w:rPr>
          <w:rFonts w:ascii="Helvetica" w:eastAsia="Times New Roman" w:hAnsi="Helvetica" w:cs="Helvetica"/>
          <w:sz w:val="24"/>
          <w:szCs w:val="24"/>
        </w:rPr>
        <w:tab/>
        <w:t>Temporary differences originate in one period and reverse or “turn around” in one or more subsequent periods. For example, when a company records a product warranty liability, an expense is recognized for accounting purposes but not for tax purposes. In future years when the product warranty liability is settled, tax deductible amounts result which reverse the effect of the original timing differences.</w:t>
      </w:r>
    </w:p>
    <w:p w:rsidR="008B0D14" w:rsidRPr="008B0D14" w:rsidRDefault="008B0D14" w:rsidP="008B0D14">
      <w:pPr>
        <w:spacing w:after="0" w:line="280" w:lineRule="exact"/>
        <w:jc w:val="both"/>
        <w:rPr>
          <w:rFonts w:ascii="Helvetica" w:eastAsia="Times New Roman" w:hAnsi="Helvetica" w:cs="Helvetica"/>
          <w:sz w:val="24"/>
          <w:szCs w:val="24"/>
        </w:rPr>
      </w:pPr>
    </w:p>
    <w:p w:rsidR="008B0D14" w:rsidRPr="008B0D14" w:rsidRDefault="008B0D14" w:rsidP="008B0D14">
      <w:pPr>
        <w:tabs>
          <w:tab w:val="right" w:pos="360"/>
          <w:tab w:val="left" w:pos="540"/>
        </w:tabs>
        <w:spacing w:after="0" w:line="280" w:lineRule="exact"/>
        <w:ind w:left="547" w:hanging="547"/>
        <w:jc w:val="both"/>
        <w:rPr>
          <w:rFonts w:ascii="Helvetica" w:eastAsia="Times New Roman" w:hAnsi="Helvetica" w:cs="Helvetica"/>
          <w:sz w:val="24"/>
          <w:szCs w:val="24"/>
        </w:rPr>
      </w:pPr>
      <w:r w:rsidRPr="008B0D14">
        <w:rPr>
          <w:rFonts w:ascii="Helvetica" w:eastAsia="Times New Roman" w:hAnsi="Helvetica" w:cs="Helvetica"/>
          <w:sz w:val="24"/>
          <w:szCs w:val="24"/>
        </w:rPr>
        <w:tab/>
        <w:t>12.</w:t>
      </w:r>
      <w:r w:rsidRPr="008B0D14">
        <w:rPr>
          <w:rFonts w:ascii="Helvetica" w:eastAsia="Times New Roman" w:hAnsi="Helvetica" w:cs="Helvetica"/>
          <w:sz w:val="24"/>
          <w:szCs w:val="24"/>
        </w:rPr>
        <w:tab/>
      </w:r>
      <w:r w:rsidRPr="008B0D14">
        <w:rPr>
          <w:rFonts w:ascii="Helvetica" w:eastAsia="Times New Roman" w:hAnsi="Helvetica" w:cs="Helvetica"/>
          <w:spacing w:val="-2"/>
          <w:sz w:val="24"/>
          <w:szCs w:val="24"/>
        </w:rPr>
        <w:t xml:space="preserve">Two concepts related to temporary differences are </w:t>
      </w:r>
      <w:r w:rsidRPr="008B0D14">
        <w:rPr>
          <w:rFonts w:ascii="Helvetica" w:eastAsia="Times New Roman" w:hAnsi="Helvetica" w:cs="Helvetica"/>
          <w:b/>
          <w:bCs/>
          <w:spacing w:val="-2"/>
          <w:sz w:val="24"/>
          <w:szCs w:val="24"/>
        </w:rPr>
        <w:t xml:space="preserve">originating differences </w:t>
      </w:r>
      <w:r w:rsidRPr="008B0D14">
        <w:rPr>
          <w:rFonts w:ascii="Helvetica" w:eastAsia="Times New Roman" w:hAnsi="Helvetica" w:cs="Helvetica"/>
          <w:spacing w:val="-2"/>
          <w:sz w:val="24"/>
          <w:szCs w:val="24"/>
        </w:rPr>
        <w:t xml:space="preserve">and </w:t>
      </w:r>
      <w:r w:rsidRPr="008B0D14">
        <w:rPr>
          <w:rFonts w:ascii="Helvetica" w:eastAsia="Times New Roman" w:hAnsi="Helvetica" w:cs="Helvetica"/>
          <w:b/>
          <w:bCs/>
          <w:spacing w:val="-2"/>
          <w:sz w:val="24"/>
          <w:szCs w:val="24"/>
        </w:rPr>
        <w:t xml:space="preserve">reversing </w:t>
      </w:r>
      <w:r w:rsidRPr="008B0D14">
        <w:rPr>
          <w:rFonts w:ascii="Helvetica" w:eastAsia="Times New Roman" w:hAnsi="Helvetica" w:cs="Helvetica"/>
          <w:b/>
          <w:bCs/>
          <w:sz w:val="24"/>
          <w:szCs w:val="24"/>
        </w:rPr>
        <w:t xml:space="preserve">differences. </w:t>
      </w:r>
      <w:r w:rsidRPr="008B0D14">
        <w:rPr>
          <w:rFonts w:ascii="Helvetica" w:eastAsia="Times New Roman" w:hAnsi="Helvetica" w:cs="Helvetica"/>
          <w:sz w:val="24"/>
          <w:szCs w:val="24"/>
        </w:rPr>
        <w:t xml:space="preserve">An originating difference is the initial temporary difference between the book basis and the tax basis of an asset or liability regardless of whether the tax basis of the </w:t>
      </w:r>
      <w:r w:rsidRPr="008B0D14">
        <w:rPr>
          <w:rFonts w:ascii="Helvetica" w:eastAsia="Times New Roman" w:hAnsi="Helvetica" w:cs="Helvetica"/>
          <w:spacing w:val="-4"/>
          <w:sz w:val="24"/>
          <w:szCs w:val="24"/>
        </w:rPr>
        <w:t xml:space="preserve">asset of liability exceeds or is exceeded by the book basis of the asset or liability. A reversing </w:t>
      </w:r>
      <w:r w:rsidRPr="008B0D14">
        <w:rPr>
          <w:rFonts w:ascii="Helvetica" w:eastAsia="Times New Roman" w:hAnsi="Helvetica" w:cs="Helvetica"/>
          <w:sz w:val="24"/>
          <w:szCs w:val="24"/>
        </w:rPr>
        <w:t xml:space="preserve">difference, on the other hand, occurs when a temporary difference that originated in a </w:t>
      </w:r>
      <w:r w:rsidRPr="008B0D14">
        <w:rPr>
          <w:rFonts w:ascii="Helvetica" w:eastAsia="Times New Roman" w:hAnsi="Helvetica" w:cs="Helvetica"/>
          <w:spacing w:val="-2"/>
          <w:sz w:val="24"/>
          <w:szCs w:val="24"/>
        </w:rPr>
        <w:t>prior period is eliminated and the tax effect is removed from the deferred tax account.</w:t>
      </w:r>
    </w:p>
    <w:p w:rsidR="008B0D14" w:rsidRPr="008B0D14" w:rsidRDefault="008B0D14" w:rsidP="008B0D14">
      <w:pPr>
        <w:tabs>
          <w:tab w:val="right" w:pos="360"/>
          <w:tab w:val="left" w:pos="540"/>
        </w:tabs>
        <w:spacing w:after="0" w:line="280" w:lineRule="exact"/>
        <w:ind w:left="547" w:hanging="547"/>
        <w:jc w:val="both"/>
        <w:rPr>
          <w:rFonts w:ascii="Helvetica" w:eastAsia="Times New Roman" w:hAnsi="Helvetica" w:cs="Helvetica"/>
          <w:sz w:val="24"/>
          <w:szCs w:val="24"/>
        </w:rPr>
      </w:pPr>
    </w:p>
    <w:p w:rsidR="008B0D14" w:rsidRPr="008B0D14" w:rsidRDefault="008B0D14" w:rsidP="008B0D14">
      <w:pPr>
        <w:tabs>
          <w:tab w:val="right" w:pos="360"/>
          <w:tab w:val="left" w:pos="540"/>
        </w:tabs>
        <w:spacing w:after="0" w:line="280" w:lineRule="exact"/>
        <w:ind w:left="547" w:hanging="547"/>
        <w:jc w:val="both"/>
        <w:rPr>
          <w:rFonts w:ascii="Helvetica" w:eastAsia="Times New Roman" w:hAnsi="Helvetica" w:cs="Helvetica"/>
          <w:sz w:val="24"/>
          <w:szCs w:val="24"/>
        </w:rPr>
      </w:pPr>
      <w:r w:rsidRPr="008B0D14">
        <w:rPr>
          <w:rFonts w:ascii="Helvetica" w:eastAsia="Times New Roman" w:hAnsi="Helvetica" w:cs="Helvetica"/>
          <w:sz w:val="24"/>
          <w:szCs w:val="24"/>
        </w:rPr>
        <w:tab/>
        <w:t>13.</w:t>
      </w:r>
      <w:r w:rsidRPr="008B0D14">
        <w:rPr>
          <w:rFonts w:ascii="Helvetica" w:eastAsia="Times New Roman" w:hAnsi="Helvetica" w:cs="Helvetica"/>
          <w:sz w:val="24"/>
          <w:szCs w:val="24"/>
        </w:rPr>
        <w:tab/>
        <w:t xml:space="preserve">Permanent differences are items that (a) enter into financial income but </w:t>
      </w:r>
      <w:r w:rsidRPr="008B0D14">
        <w:rPr>
          <w:rFonts w:ascii="Helvetica" w:eastAsia="Times New Roman" w:hAnsi="Helvetica" w:cs="Helvetica"/>
          <w:i/>
          <w:iCs/>
          <w:sz w:val="24"/>
          <w:szCs w:val="24"/>
        </w:rPr>
        <w:t xml:space="preserve">never </w:t>
      </w:r>
      <w:r w:rsidRPr="008B0D14">
        <w:rPr>
          <w:rFonts w:ascii="Helvetica" w:eastAsia="Times New Roman" w:hAnsi="Helvetica" w:cs="Helvetica"/>
          <w:sz w:val="24"/>
          <w:szCs w:val="24"/>
        </w:rPr>
        <w:t xml:space="preserve">into taxable </w:t>
      </w:r>
      <w:r w:rsidRPr="008B0D14">
        <w:rPr>
          <w:rFonts w:ascii="Helvetica" w:eastAsia="Times New Roman" w:hAnsi="Helvetica" w:cs="Helvetica"/>
          <w:spacing w:val="-4"/>
          <w:sz w:val="24"/>
          <w:szCs w:val="24"/>
        </w:rPr>
        <w:t xml:space="preserve">income or (b) enter into taxable income but </w:t>
      </w:r>
      <w:r w:rsidRPr="008B0D14">
        <w:rPr>
          <w:rFonts w:ascii="Helvetica" w:eastAsia="Times New Roman" w:hAnsi="Helvetica" w:cs="Helvetica"/>
          <w:i/>
          <w:iCs/>
          <w:spacing w:val="-4"/>
          <w:sz w:val="24"/>
          <w:szCs w:val="24"/>
        </w:rPr>
        <w:t xml:space="preserve">never </w:t>
      </w:r>
      <w:r w:rsidRPr="008B0D14">
        <w:rPr>
          <w:rFonts w:ascii="Helvetica" w:eastAsia="Times New Roman" w:hAnsi="Helvetica" w:cs="Helvetica"/>
          <w:spacing w:val="-4"/>
          <w:sz w:val="24"/>
          <w:szCs w:val="24"/>
        </w:rPr>
        <w:t xml:space="preserve">into financial income. Examples of </w:t>
      </w:r>
      <w:r w:rsidRPr="008B0D14">
        <w:rPr>
          <w:rFonts w:ascii="Helvetica" w:eastAsia="Times New Roman" w:hAnsi="Helvetica" w:cs="Helvetica"/>
          <w:sz w:val="24"/>
          <w:szCs w:val="24"/>
        </w:rPr>
        <w:t>perma</w:t>
      </w:r>
      <w:r w:rsidRPr="008B0D14">
        <w:rPr>
          <w:rFonts w:ascii="Helvetica" w:eastAsia="Times New Roman" w:hAnsi="Helvetica" w:cs="Helvetica"/>
          <w:sz w:val="24"/>
          <w:szCs w:val="24"/>
        </w:rPr>
        <w:softHyphen/>
        <w:t>nent differences include interest received on state and municipal obligations, proceeds from life insurance on key executives, and fines and expenses resulting from a violation of law. These items are not included in the computation of taxable income, and the profession has concluded that the tax consequences of these differences should not be recognized.</w:t>
      </w:r>
    </w:p>
    <w:p w:rsidR="008B0D14" w:rsidRPr="008B0D14" w:rsidRDefault="008B0D14" w:rsidP="008B0D14">
      <w:pPr>
        <w:spacing w:after="0" w:line="280" w:lineRule="exact"/>
        <w:rPr>
          <w:rFonts w:ascii="Helvetica" w:eastAsia="Times New Roman" w:hAnsi="Helvetica" w:cs="Helvetica"/>
          <w:sz w:val="24"/>
          <w:szCs w:val="24"/>
        </w:rPr>
      </w:pPr>
    </w:p>
    <w:p w:rsidR="008B0D14" w:rsidRPr="008B0D14" w:rsidRDefault="008B0D14" w:rsidP="008B0D14">
      <w:pPr>
        <w:spacing w:after="0" w:line="280" w:lineRule="exact"/>
        <w:rPr>
          <w:rFonts w:ascii="Helvetica" w:eastAsia="Times New Roman" w:hAnsi="Helvetica" w:cs="Helvetica"/>
          <w:sz w:val="24"/>
          <w:szCs w:val="24"/>
        </w:rPr>
      </w:pPr>
      <w:r w:rsidRPr="008B0D14">
        <w:rPr>
          <w:rFonts w:ascii="Helvetica" w:eastAsia="Times New Roman" w:hAnsi="Helvetica" w:cs="Helvetica"/>
          <w:b/>
          <w:bCs/>
          <w:sz w:val="24"/>
          <w:szCs w:val="24"/>
          <w:u w:val="single"/>
        </w:rPr>
        <w:t>Future Tax Rates</w:t>
      </w:r>
    </w:p>
    <w:p w:rsidR="008B0D14" w:rsidRPr="008B0D14" w:rsidRDefault="008B0D14" w:rsidP="008B0D14">
      <w:pPr>
        <w:spacing w:after="0" w:line="280" w:lineRule="exact"/>
        <w:jc w:val="both"/>
        <w:rPr>
          <w:rFonts w:ascii="Helvetica" w:eastAsia="Times New Roman" w:hAnsi="Helvetica" w:cs="Helvetica"/>
          <w:sz w:val="24"/>
          <w:szCs w:val="24"/>
        </w:rPr>
      </w:pPr>
    </w:p>
    <w:p w:rsidR="008B0D14" w:rsidRPr="008B0D14" w:rsidRDefault="008B0D14" w:rsidP="008B0D14">
      <w:pPr>
        <w:tabs>
          <w:tab w:val="right" w:pos="360"/>
          <w:tab w:val="left" w:pos="540"/>
        </w:tabs>
        <w:spacing w:after="0" w:line="280" w:lineRule="exact"/>
        <w:ind w:left="547" w:hanging="547"/>
        <w:jc w:val="both"/>
        <w:rPr>
          <w:rFonts w:ascii="Helvetica" w:eastAsia="Times New Roman" w:hAnsi="Helvetica" w:cs="Helvetica"/>
          <w:sz w:val="24"/>
          <w:szCs w:val="24"/>
        </w:rPr>
      </w:pPr>
      <w:r w:rsidRPr="008B0D14">
        <w:rPr>
          <w:rFonts w:ascii="Helvetica" w:eastAsia="Times New Roman" w:hAnsi="Helvetica" w:cs="Helvetica"/>
          <w:sz w:val="24"/>
          <w:szCs w:val="24"/>
        </w:rPr>
        <w:tab/>
        <w:t>14.</w:t>
      </w:r>
      <w:r w:rsidRPr="008B0D14">
        <w:rPr>
          <w:rFonts w:ascii="Helvetica" w:eastAsia="Times New Roman" w:hAnsi="Helvetica" w:cs="Helvetica"/>
          <w:sz w:val="24"/>
          <w:szCs w:val="24"/>
        </w:rPr>
        <w:tab/>
        <w:t xml:space="preserve">When recording deferred income taxes consideration must be given to the tax rate in effect when the timing differences reverse. Normally, the current tax rate is used to compute deferred income taxes. However, future tax rates, other than the current rate </w:t>
      </w:r>
      <w:r w:rsidRPr="008B0D14">
        <w:rPr>
          <w:rFonts w:ascii="Helvetica" w:eastAsia="Times New Roman" w:hAnsi="Helvetica" w:cs="Helvetica"/>
          <w:b/>
          <w:bCs/>
          <w:sz w:val="24"/>
          <w:szCs w:val="24"/>
        </w:rPr>
        <w:t xml:space="preserve">should be used </w:t>
      </w:r>
      <w:r w:rsidRPr="008B0D14">
        <w:rPr>
          <w:rFonts w:ascii="Helvetica" w:eastAsia="Times New Roman" w:hAnsi="Helvetica" w:cs="Helvetica"/>
          <w:sz w:val="24"/>
          <w:szCs w:val="24"/>
        </w:rPr>
        <w:t xml:space="preserve">when such rates </w:t>
      </w:r>
      <w:r w:rsidRPr="008B0D14">
        <w:rPr>
          <w:rFonts w:ascii="Helvetica" w:eastAsia="Times New Roman" w:hAnsi="Helvetica" w:cs="Helvetica"/>
          <w:b/>
          <w:bCs/>
          <w:sz w:val="24"/>
          <w:szCs w:val="24"/>
        </w:rPr>
        <w:t xml:space="preserve">have been enacted into law. </w:t>
      </w:r>
      <w:r w:rsidRPr="008B0D14">
        <w:rPr>
          <w:rFonts w:ascii="Helvetica" w:eastAsia="Times New Roman" w:hAnsi="Helvetica" w:cs="Helvetica"/>
          <w:sz w:val="24"/>
          <w:szCs w:val="24"/>
        </w:rPr>
        <w:t>When an unexpected change in the tax rate has been enacted into law, its effect on deferred income tax and related tax expense should be recorded immediately. The effects are reported as an adjustment to tax expense in the period of the change.</w:t>
      </w:r>
    </w:p>
    <w:p w:rsidR="008B0D14" w:rsidRPr="008B0D14" w:rsidRDefault="008B0D14" w:rsidP="008B0D14">
      <w:pPr>
        <w:spacing w:after="0" w:line="280" w:lineRule="exact"/>
        <w:jc w:val="both"/>
        <w:rPr>
          <w:rFonts w:ascii="Helvetica" w:eastAsia="Times New Roman" w:hAnsi="Helvetica" w:cs="Helvetica"/>
          <w:sz w:val="24"/>
          <w:szCs w:val="24"/>
        </w:rPr>
      </w:pPr>
    </w:p>
    <w:p w:rsidR="008B0D14" w:rsidRPr="008B0D14" w:rsidRDefault="008B0D14" w:rsidP="008B0D14">
      <w:pPr>
        <w:spacing w:after="0" w:line="280" w:lineRule="exact"/>
        <w:jc w:val="both"/>
        <w:rPr>
          <w:rFonts w:ascii="Helvetica" w:eastAsia="Times New Roman" w:hAnsi="Helvetica" w:cs="Helvetica"/>
          <w:sz w:val="24"/>
          <w:szCs w:val="24"/>
        </w:rPr>
      </w:pPr>
      <w:r w:rsidRPr="008B0D14">
        <w:rPr>
          <w:rFonts w:ascii="Helvetica" w:eastAsia="Times New Roman" w:hAnsi="Helvetica" w:cs="Helvetica"/>
          <w:b/>
          <w:bCs/>
          <w:sz w:val="24"/>
          <w:szCs w:val="24"/>
          <w:u w:val="single"/>
        </w:rPr>
        <w:br w:type="page"/>
      </w:r>
      <w:r w:rsidRPr="008B0D14">
        <w:rPr>
          <w:rFonts w:ascii="Helvetica" w:eastAsia="Times New Roman" w:hAnsi="Helvetica" w:cs="Helvetica"/>
          <w:b/>
          <w:bCs/>
          <w:sz w:val="24"/>
          <w:szCs w:val="24"/>
          <w:u w:val="single"/>
        </w:rPr>
        <w:lastRenderedPageBreak/>
        <w:t>Accounting for Tax Losses</w:t>
      </w:r>
    </w:p>
    <w:p w:rsidR="008B0D14" w:rsidRPr="008B0D14" w:rsidRDefault="008B0D14" w:rsidP="008B0D14">
      <w:pPr>
        <w:spacing w:after="0" w:line="280" w:lineRule="exact"/>
        <w:jc w:val="both"/>
        <w:rPr>
          <w:rFonts w:ascii="Helvetica" w:eastAsia="Times New Roman" w:hAnsi="Helvetica" w:cs="Helvetica"/>
          <w:sz w:val="24"/>
          <w:szCs w:val="24"/>
        </w:rPr>
      </w:pPr>
    </w:p>
    <w:p w:rsidR="008B0D14" w:rsidRPr="008B0D14" w:rsidRDefault="008B0D14" w:rsidP="008B0D14">
      <w:pPr>
        <w:tabs>
          <w:tab w:val="right" w:pos="360"/>
          <w:tab w:val="left" w:pos="540"/>
        </w:tabs>
        <w:spacing w:after="0" w:line="280" w:lineRule="exact"/>
        <w:ind w:left="547" w:hanging="547"/>
        <w:jc w:val="both"/>
        <w:rPr>
          <w:rFonts w:ascii="Helvetica" w:eastAsia="Times New Roman" w:hAnsi="Helvetica" w:cs="Helvetica"/>
          <w:sz w:val="24"/>
          <w:szCs w:val="24"/>
        </w:rPr>
      </w:pPr>
      <w:r w:rsidRPr="008B0D14">
        <w:rPr>
          <w:rFonts w:ascii="Helvetica" w:eastAsia="Times New Roman" w:hAnsi="Helvetica" w:cs="Helvetica"/>
          <w:sz w:val="24"/>
          <w:szCs w:val="24"/>
        </w:rPr>
        <w:tab/>
        <w:t>15.</w:t>
      </w:r>
      <w:r w:rsidRPr="008B0D14">
        <w:rPr>
          <w:rFonts w:ascii="Helvetica" w:eastAsia="Times New Roman" w:hAnsi="Helvetica" w:cs="Helvetica"/>
          <w:sz w:val="24"/>
          <w:szCs w:val="24"/>
        </w:rPr>
        <w:tab/>
        <w:t xml:space="preserve">A </w:t>
      </w:r>
      <w:r w:rsidRPr="008B0D14">
        <w:rPr>
          <w:rFonts w:ascii="Helvetica" w:eastAsia="Times New Roman" w:hAnsi="Helvetica" w:cs="Helvetica"/>
          <w:b/>
          <w:bCs/>
          <w:sz w:val="24"/>
          <w:szCs w:val="24"/>
        </w:rPr>
        <w:t xml:space="preserve">net operating loss </w:t>
      </w:r>
      <w:r w:rsidRPr="008B0D14">
        <w:rPr>
          <w:rFonts w:ascii="Helvetica" w:eastAsia="Times New Roman" w:hAnsi="Helvetica" w:cs="Helvetica"/>
          <w:sz w:val="24"/>
          <w:szCs w:val="24"/>
        </w:rPr>
        <w:t xml:space="preserve">occurs for tax purposes in a year when tax-deductible expenses exceed taxable revenues. Under certain circumstances the federal tax laws permit taxpayers to use the losses of one year to offset the profits of other years. This income-averaging provision is accomplished through the </w:t>
      </w:r>
      <w:r w:rsidRPr="008B0D14">
        <w:rPr>
          <w:rFonts w:ascii="Helvetica" w:eastAsia="Times New Roman" w:hAnsi="Helvetica" w:cs="Helvetica"/>
          <w:b/>
          <w:bCs/>
          <w:sz w:val="24"/>
          <w:szCs w:val="24"/>
        </w:rPr>
        <w:t xml:space="preserve">carryback </w:t>
      </w:r>
      <w:r w:rsidRPr="008B0D14">
        <w:rPr>
          <w:rFonts w:ascii="Helvetica" w:eastAsia="Times New Roman" w:hAnsi="Helvetica" w:cs="Helvetica"/>
          <w:sz w:val="24"/>
          <w:szCs w:val="24"/>
        </w:rPr>
        <w:t xml:space="preserve">and </w:t>
      </w:r>
      <w:proofErr w:type="spellStart"/>
      <w:r w:rsidRPr="008B0D14">
        <w:rPr>
          <w:rFonts w:ascii="Helvetica" w:eastAsia="Times New Roman" w:hAnsi="Helvetica" w:cs="Helvetica"/>
          <w:b/>
          <w:bCs/>
          <w:sz w:val="24"/>
          <w:szCs w:val="24"/>
        </w:rPr>
        <w:t>carryforward</w:t>
      </w:r>
      <w:proofErr w:type="spellEnd"/>
      <w:r w:rsidRPr="008B0D14">
        <w:rPr>
          <w:rFonts w:ascii="Helvetica" w:eastAsia="Times New Roman" w:hAnsi="Helvetica" w:cs="Helvetica"/>
          <w:b/>
          <w:bCs/>
          <w:sz w:val="24"/>
          <w:szCs w:val="24"/>
        </w:rPr>
        <w:t xml:space="preserve"> </w:t>
      </w:r>
      <w:r w:rsidRPr="008B0D14">
        <w:rPr>
          <w:rFonts w:ascii="Helvetica" w:eastAsia="Times New Roman" w:hAnsi="Helvetica" w:cs="Helvetica"/>
          <w:sz w:val="24"/>
          <w:szCs w:val="24"/>
        </w:rPr>
        <w:t>of net operating losses. Under these rules, a company pays no income taxes for a year in which it incurs a net operating loss.</w:t>
      </w:r>
    </w:p>
    <w:p w:rsidR="008B0D14" w:rsidRPr="008B0D14" w:rsidRDefault="008B0D14" w:rsidP="008B0D14">
      <w:pPr>
        <w:tabs>
          <w:tab w:val="right" w:pos="360"/>
          <w:tab w:val="left" w:pos="540"/>
        </w:tabs>
        <w:spacing w:after="0" w:line="280" w:lineRule="exact"/>
        <w:ind w:left="547" w:hanging="547"/>
        <w:jc w:val="both"/>
        <w:rPr>
          <w:rFonts w:ascii="Helvetica" w:eastAsia="Times New Roman" w:hAnsi="Helvetica" w:cs="Helvetica"/>
          <w:sz w:val="24"/>
          <w:szCs w:val="24"/>
        </w:rPr>
      </w:pPr>
    </w:p>
    <w:p w:rsidR="008B0D14" w:rsidRPr="008B0D14" w:rsidRDefault="008B0D14" w:rsidP="008B0D14">
      <w:pPr>
        <w:tabs>
          <w:tab w:val="right" w:pos="360"/>
          <w:tab w:val="left" w:pos="540"/>
        </w:tabs>
        <w:spacing w:after="0" w:line="280" w:lineRule="exact"/>
        <w:ind w:left="547" w:hanging="547"/>
        <w:jc w:val="both"/>
        <w:rPr>
          <w:rFonts w:ascii="Helvetica" w:eastAsia="Times New Roman" w:hAnsi="Helvetica" w:cs="Helvetica"/>
          <w:sz w:val="24"/>
          <w:szCs w:val="24"/>
        </w:rPr>
      </w:pPr>
      <w:r w:rsidRPr="008B0D14">
        <w:rPr>
          <w:rFonts w:ascii="Helvetica" w:eastAsia="Times New Roman" w:hAnsi="Helvetica" w:cs="Helvetica"/>
          <w:sz w:val="24"/>
          <w:szCs w:val="24"/>
        </w:rPr>
        <w:tab/>
        <w:t>16.</w:t>
      </w:r>
      <w:r w:rsidRPr="008B0D14">
        <w:rPr>
          <w:rFonts w:ascii="Helvetica" w:eastAsia="Times New Roman" w:hAnsi="Helvetica" w:cs="Helvetica"/>
          <w:sz w:val="24"/>
          <w:szCs w:val="24"/>
        </w:rPr>
        <w:tab/>
        <w:t xml:space="preserve">A company may carry a net operating loss back two years and receive refunds for income taxes paid in those years. The loss must be applied to the earliest year first and then to the second year. Any loss remaining after the two year carryback may be carried forward up to 20 years to offset future taxable income. A company may elect the loss </w:t>
      </w:r>
      <w:proofErr w:type="spellStart"/>
      <w:r w:rsidRPr="008B0D14">
        <w:rPr>
          <w:rFonts w:ascii="Helvetica" w:eastAsia="Times New Roman" w:hAnsi="Helvetica" w:cs="Helvetica"/>
          <w:sz w:val="24"/>
          <w:szCs w:val="24"/>
        </w:rPr>
        <w:t>carryforward</w:t>
      </w:r>
      <w:proofErr w:type="spellEnd"/>
      <w:r w:rsidRPr="008B0D14">
        <w:rPr>
          <w:rFonts w:ascii="Helvetica" w:eastAsia="Times New Roman" w:hAnsi="Helvetica" w:cs="Helvetica"/>
          <w:sz w:val="24"/>
          <w:szCs w:val="24"/>
        </w:rPr>
        <w:t xml:space="preserve"> only, offsetting future taxable income for up to 20 years.</w:t>
      </w:r>
    </w:p>
    <w:p w:rsidR="008B0D14" w:rsidRPr="008B0D14" w:rsidRDefault="008B0D14" w:rsidP="008B0D14">
      <w:pPr>
        <w:tabs>
          <w:tab w:val="right" w:pos="360"/>
          <w:tab w:val="left" w:pos="540"/>
        </w:tabs>
        <w:spacing w:after="0" w:line="200" w:lineRule="exact"/>
        <w:rPr>
          <w:rFonts w:ascii="Helvetica" w:eastAsia="Times New Roman" w:hAnsi="Helvetica" w:cs="Helvetica"/>
          <w:sz w:val="24"/>
          <w:szCs w:val="24"/>
        </w:rPr>
      </w:pPr>
    </w:p>
    <w:p w:rsidR="008B0D14" w:rsidRPr="008B0D14" w:rsidRDefault="008B0D14" w:rsidP="008B0D14">
      <w:pPr>
        <w:tabs>
          <w:tab w:val="right" w:pos="360"/>
          <w:tab w:val="left" w:pos="540"/>
        </w:tabs>
        <w:spacing w:after="0" w:line="280" w:lineRule="exact"/>
        <w:ind w:left="547" w:hanging="547"/>
        <w:jc w:val="both"/>
        <w:rPr>
          <w:rFonts w:ascii="Helvetica" w:eastAsia="Times New Roman" w:hAnsi="Helvetica" w:cs="Helvetica"/>
          <w:sz w:val="24"/>
          <w:szCs w:val="24"/>
        </w:rPr>
      </w:pPr>
      <w:r w:rsidRPr="008B0D14">
        <w:rPr>
          <w:rFonts w:ascii="Helvetica" w:eastAsia="Times New Roman" w:hAnsi="Helvetica" w:cs="Helvetica"/>
          <w:sz w:val="24"/>
          <w:szCs w:val="24"/>
        </w:rPr>
        <w:tab/>
        <w:t>17.</w:t>
      </w:r>
      <w:r w:rsidRPr="008B0D14">
        <w:rPr>
          <w:rFonts w:ascii="Helvetica" w:eastAsia="Times New Roman" w:hAnsi="Helvetica" w:cs="Helvetica"/>
          <w:sz w:val="24"/>
          <w:szCs w:val="24"/>
        </w:rPr>
        <w:tab/>
        <w:t xml:space="preserve">When a company carries a tax loss back, the tax loss gives rise to a refund that is both measurable and currently realizable; therefore, the associated tax benefit should be </w:t>
      </w:r>
      <w:r w:rsidRPr="008B0D14">
        <w:rPr>
          <w:rFonts w:ascii="Helvetica" w:eastAsia="Times New Roman" w:hAnsi="Helvetica" w:cs="Helvetica"/>
          <w:spacing w:val="-4"/>
          <w:sz w:val="24"/>
          <w:szCs w:val="24"/>
        </w:rPr>
        <w:t xml:space="preserve">recognized in the current loss period. When a company carries a tax loss forward, a deferred </w:t>
      </w:r>
      <w:r w:rsidRPr="008B0D14">
        <w:rPr>
          <w:rFonts w:ascii="Helvetica" w:eastAsia="Times New Roman" w:hAnsi="Helvetica" w:cs="Helvetica"/>
          <w:sz w:val="24"/>
          <w:szCs w:val="24"/>
        </w:rPr>
        <w:t>tax asset should be established for the benefits of future tax savings. If it is more likely than not that the entire future tax loss will not be realized in future years, a valuation allowance is required.</w:t>
      </w:r>
    </w:p>
    <w:p w:rsidR="008B0D14" w:rsidRPr="008B0D14" w:rsidRDefault="008B0D14" w:rsidP="008B0D14">
      <w:pPr>
        <w:spacing w:after="0" w:line="200" w:lineRule="exact"/>
        <w:rPr>
          <w:rFonts w:ascii="Helvetica" w:eastAsia="Times New Roman" w:hAnsi="Helvetica" w:cs="Helvetica"/>
          <w:sz w:val="24"/>
          <w:szCs w:val="24"/>
        </w:rPr>
      </w:pPr>
    </w:p>
    <w:p w:rsidR="008B0D14" w:rsidRPr="008B0D14" w:rsidRDefault="008B0D14" w:rsidP="008B0D14">
      <w:pPr>
        <w:spacing w:after="0" w:line="280" w:lineRule="exact"/>
        <w:jc w:val="both"/>
        <w:rPr>
          <w:rFonts w:ascii="Helvetica" w:eastAsia="Times New Roman" w:hAnsi="Helvetica" w:cs="Helvetica"/>
          <w:sz w:val="24"/>
          <w:szCs w:val="24"/>
        </w:rPr>
      </w:pPr>
      <w:r w:rsidRPr="008B0D14">
        <w:rPr>
          <w:rFonts w:ascii="Helvetica" w:eastAsia="Times New Roman" w:hAnsi="Helvetica" w:cs="Helvetica"/>
          <w:b/>
          <w:bCs/>
          <w:sz w:val="24"/>
          <w:szCs w:val="24"/>
          <w:u w:val="single"/>
        </w:rPr>
        <w:t>Balance Sheet Presentation</w:t>
      </w:r>
    </w:p>
    <w:p w:rsidR="008B0D14" w:rsidRPr="008B0D14" w:rsidRDefault="008B0D14" w:rsidP="008B0D14">
      <w:pPr>
        <w:spacing w:after="0" w:line="200" w:lineRule="exact"/>
        <w:rPr>
          <w:rFonts w:ascii="Helvetica" w:eastAsia="Times New Roman" w:hAnsi="Helvetica" w:cs="Helvetica"/>
          <w:sz w:val="24"/>
          <w:szCs w:val="24"/>
        </w:rPr>
      </w:pPr>
    </w:p>
    <w:p w:rsidR="008B0D14" w:rsidRPr="008B0D14" w:rsidRDefault="008B0D14" w:rsidP="008B0D14">
      <w:pPr>
        <w:tabs>
          <w:tab w:val="right" w:pos="360"/>
          <w:tab w:val="left" w:pos="540"/>
        </w:tabs>
        <w:spacing w:after="0" w:line="280" w:lineRule="exact"/>
        <w:ind w:left="547" w:hanging="547"/>
        <w:jc w:val="both"/>
        <w:rPr>
          <w:rFonts w:ascii="Helvetica" w:eastAsia="Times New Roman" w:hAnsi="Helvetica" w:cs="Helvetica"/>
          <w:sz w:val="24"/>
          <w:szCs w:val="24"/>
        </w:rPr>
      </w:pPr>
      <w:r w:rsidRPr="008B0D14">
        <w:rPr>
          <w:rFonts w:ascii="Helvetica" w:eastAsia="Times New Roman" w:hAnsi="Helvetica" w:cs="Helvetica"/>
          <w:sz w:val="24"/>
          <w:szCs w:val="24"/>
        </w:rPr>
        <w:tab/>
        <w:t>18.</w:t>
      </w:r>
      <w:r w:rsidRPr="008B0D14">
        <w:rPr>
          <w:rFonts w:ascii="Helvetica" w:eastAsia="Times New Roman" w:hAnsi="Helvetica" w:cs="Helvetica"/>
          <w:sz w:val="24"/>
          <w:szCs w:val="24"/>
        </w:rPr>
        <w:tab/>
      </w:r>
      <w:r w:rsidRPr="008B0D14">
        <w:rPr>
          <w:rFonts w:ascii="Helvetica" w:eastAsia="Times New Roman" w:hAnsi="Helvetica" w:cs="Helvetica"/>
          <w:spacing w:val="-2"/>
          <w:sz w:val="24"/>
          <w:szCs w:val="24"/>
        </w:rPr>
        <w:t xml:space="preserve">Deferred income taxes are reported on the balance sheet as assets and liabilities. An individual deferred tax liability or asset is classified as current or noncurrent based on the classification of the related asset or liability for financial reporting purposes. A deferred tax asset or liability is considered to be related to an asset or liability if reduction of the asset or liability will cause the temporary difference to reverse or turn around. A deferred tax liability or asset that is not related to an asset or liability for financial reporting shall be classified according to the expected reversal date of the temporary difference. The balance in the deferred income tax account should be analyzed into its components and classified on the balance sheet into two categories: </w:t>
      </w:r>
      <w:r w:rsidRPr="008B0D14">
        <w:rPr>
          <w:rFonts w:ascii="Helvetica" w:eastAsia="Times New Roman" w:hAnsi="Helvetica" w:cs="Helvetica"/>
          <w:b/>
          <w:bCs/>
          <w:spacing w:val="-2"/>
          <w:sz w:val="24"/>
          <w:szCs w:val="24"/>
        </w:rPr>
        <w:t xml:space="preserve">one for net current amount </w:t>
      </w:r>
      <w:r w:rsidRPr="008B0D14">
        <w:rPr>
          <w:rFonts w:ascii="Helvetica" w:eastAsia="Times New Roman" w:hAnsi="Helvetica" w:cs="Helvetica"/>
          <w:spacing w:val="-2"/>
          <w:sz w:val="24"/>
          <w:szCs w:val="24"/>
        </w:rPr>
        <w:t xml:space="preserve">and </w:t>
      </w:r>
      <w:r w:rsidRPr="008B0D14">
        <w:rPr>
          <w:rFonts w:ascii="Helvetica" w:eastAsia="Times New Roman" w:hAnsi="Helvetica" w:cs="Helvetica"/>
          <w:b/>
          <w:bCs/>
          <w:spacing w:val="-2"/>
          <w:sz w:val="24"/>
          <w:szCs w:val="24"/>
        </w:rPr>
        <w:t>one for net noncurrent (or long-term) amount.</w:t>
      </w:r>
    </w:p>
    <w:p w:rsidR="008B0D14" w:rsidRPr="008B0D14" w:rsidRDefault="008B0D14" w:rsidP="008B0D14">
      <w:pPr>
        <w:tabs>
          <w:tab w:val="right" w:pos="360"/>
          <w:tab w:val="left" w:pos="540"/>
        </w:tabs>
        <w:spacing w:after="0" w:line="200" w:lineRule="exact"/>
        <w:rPr>
          <w:rFonts w:ascii="Helvetica" w:eastAsia="Times New Roman" w:hAnsi="Helvetica" w:cs="Helvetica"/>
          <w:sz w:val="24"/>
          <w:szCs w:val="24"/>
        </w:rPr>
      </w:pPr>
    </w:p>
    <w:p w:rsidR="008B0D14" w:rsidRPr="008B0D14" w:rsidRDefault="008B0D14" w:rsidP="008B0D14">
      <w:pPr>
        <w:tabs>
          <w:tab w:val="right" w:pos="360"/>
          <w:tab w:val="left" w:pos="540"/>
        </w:tabs>
        <w:spacing w:after="0" w:line="280" w:lineRule="exact"/>
        <w:ind w:left="547" w:hanging="547"/>
        <w:jc w:val="both"/>
        <w:rPr>
          <w:rFonts w:ascii="Helvetica" w:eastAsia="Times New Roman" w:hAnsi="Helvetica" w:cs="Helvetica"/>
          <w:sz w:val="24"/>
          <w:szCs w:val="24"/>
        </w:rPr>
      </w:pPr>
      <w:r w:rsidRPr="008B0D14">
        <w:rPr>
          <w:rFonts w:ascii="Helvetica" w:eastAsia="Times New Roman" w:hAnsi="Helvetica" w:cs="Helvetica"/>
          <w:sz w:val="24"/>
          <w:szCs w:val="24"/>
        </w:rPr>
        <w:tab/>
        <w:t>19.</w:t>
      </w:r>
      <w:r w:rsidRPr="008B0D14">
        <w:rPr>
          <w:rFonts w:ascii="Helvetica" w:eastAsia="Times New Roman" w:hAnsi="Helvetica" w:cs="Helvetica"/>
          <w:sz w:val="24"/>
          <w:szCs w:val="24"/>
        </w:rPr>
        <w:tab/>
      </w:r>
      <w:r w:rsidRPr="008B0D14">
        <w:rPr>
          <w:rFonts w:ascii="Helvetica" w:eastAsia="Times New Roman" w:hAnsi="Helvetica" w:cs="Helvetica"/>
          <w:spacing w:val="-4"/>
          <w:sz w:val="24"/>
          <w:szCs w:val="24"/>
        </w:rPr>
        <w:t>The following is a summarization of the considerations related to balance sheet presentation of deferred tax accounts.</w:t>
      </w:r>
    </w:p>
    <w:p w:rsidR="008B0D14" w:rsidRPr="008B0D14" w:rsidRDefault="008B0D14" w:rsidP="008B0D14">
      <w:pPr>
        <w:spacing w:after="0" w:line="200" w:lineRule="exact"/>
        <w:rPr>
          <w:rFonts w:ascii="Helvetica" w:eastAsia="Times New Roman" w:hAnsi="Helvetica" w:cs="Helvetica"/>
          <w:sz w:val="24"/>
          <w:szCs w:val="24"/>
        </w:rPr>
      </w:pPr>
    </w:p>
    <w:p w:rsidR="008B0D14" w:rsidRPr="008B0D14" w:rsidRDefault="008B0D14" w:rsidP="008B0D14">
      <w:pPr>
        <w:tabs>
          <w:tab w:val="left" w:pos="540"/>
          <w:tab w:val="left" w:pos="907"/>
        </w:tabs>
        <w:overflowPunct w:val="0"/>
        <w:autoSpaceDE w:val="0"/>
        <w:autoSpaceDN w:val="0"/>
        <w:adjustRightInd w:val="0"/>
        <w:spacing w:after="0" w:line="280" w:lineRule="exact"/>
        <w:ind w:left="907" w:hanging="907"/>
        <w:jc w:val="both"/>
        <w:rPr>
          <w:rFonts w:ascii="Helvetica" w:eastAsia="Times New Roman" w:hAnsi="Helvetica" w:cs="Helvetica"/>
          <w:sz w:val="24"/>
          <w:szCs w:val="24"/>
        </w:rPr>
      </w:pPr>
      <w:r w:rsidRPr="008B0D14">
        <w:rPr>
          <w:rFonts w:ascii="Helvetica" w:eastAsia="Times New Roman" w:hAnsi="Helvetica" w:cs="Helvetica"/>
          <w:sz w:val="24"/>
          <w:szCs w:val="24"/>
        </w:rPr>
        <w:tab/>
        <w:t>a.</w:t>
      </w:r>
      <w:r w:rsidRPr="008B0D14">
        <w:rPr>
          <w:rFonts w:ascii="Helvetica" w:eastAsia="Times New Roman" w:hAnsi="Helvetica" w:cs="Helvetica"/>
          <w:sz w:val="24"/>
          <w:szCs w:val="24"/>
        </w:rPr>
        <w:tab/>
        <w:t>Classify the amounts as current or noncurrent. If they are related to a specific asset or liability, they should be classified in the same manner as the related asset or liability. If not so related, they should be classified on the basis of the expected reversal date.</w:t>
      </w:r>
    </w:p>
    <w:p w:rsidR="008B0D14" w:rsidRPr="008B0D14" w:rsidRDefault="008B0D14" w:rsidP="008B0D14">
      <w:pPr>
        <w:tabs>
          <w:tab w:val="left" w:pos="540"/>
          <w:tab w:val="left" w:pos="907"/>
        </w:tabs>
        <w:spacing w:after="0" w:line="200" w:lineRule="exact"/>
        <w:rPr>
          <w:rFonts w:ascii="Helvetica" w:eastAsia="Times New Roman" w:hAnsi="Helvetica" w:cs="Helvetica"/>
          <w:sz w:val="24"/>
          <w:szCs w:val="24"/>
        </w:rPr>
      </w:pPr>
    </w:p>
    <w:p w:rsidR="008B0D14" w:rsidRPr="008B0D14" w:rsidRDefault="008B0D14" w:rsidP="008B0D14">
      <w:pPr>
        <w:tabs>
          <w:tab w:val="left" w:pos="540"/>
          <w:tab w:val="left" w:pos="907"/>
        </w:tabs>
        <w:overflowPunct w:val="0"/>
        <w:autoSpaceDE w:val="0"/>
        <w:autoSpaceDN w:val="0"/>
        <w:adjustRightInd w:val="0"/>
        <w:spacing w:after="0" w:line="280" w:lineRule="exact"/>
        <w:ind w:left="907" w:hanging="907"/>
        <w:jc w:val="both"/>
        <w:rPr>
          <w:rFonts w:ascii="Helvetica" w:eastAsia="Times New Roman" w:hAnsi="Helvetica" w:cs="Helvetica"/>
          <w:sz w:val="24"/>
          <w:szCs w:val="24"/>
        </w:rPr>
      </w:pPr>
      <w:r w:rsidRPr="008B0D14">
        <w:rPr>
          <w:rFonts w:ascii="Helvetica" w:eastAsia="Times New Roman" w:hAnsi="Helvetica" w:cs="Helvetica"/>
          <w:sz w:val="24"/>
          <w:szCs w:val="24"/>
        </w:rPr>
        <w:tab/>
        <w:t>b.</w:t>
      </w:r>
      <w:r w:rsidRPr="008B0D14">
        <w:rPr>
          <w:rFonts w:ascii="Helvetica" w:eastAsia="Times New Roman" w:hAnsi="Helvetica" w:cs="Helvetica"/>
          <w:sz w:val="24"/>
          <w:szCs w:val="24"/>
        </w:rPr>
        <w:tab/>
        <w:t>Determine the net current amount by summing the various deferred tax assets and liabilities classified as current. If the net result is an asset, report on the balance sheet as a current asset; if a liability, report as a current liability.</w:t>
      </w:r>
    </w:p>
    <w:p w:rsidR="008B0D14" w:rsidRPr="008B0D14" w:rsidRDefault="008B0D14" w:rsidP="008B0D14">
      <w:pPr>
        <w:tabs>
          <w:tab w:val="left" w:pos="540"/>
          <w:tab w:val="left" w:pos="907"/>
        </w:tabs>
        <w:spacing w:after="0" w:line="200" w:lineRule="exact"/>
        <w:rPr>
          <w:rFonts w:ascii="Helvetica" w:eastAsia="Times New Roman" w:hAnsi="Helvetica" w:cs="Helvetica"/>
          <w:sz w:val="24"/>
          <w:szCs w:val="24"/>
        </w:rPr>
      </w:pPr>
    </w:p>
    <w:p w:rsidR="008B0D14" w:rsidRPr="008B0D14" w:rsidRDefault="008B0D14" w:rsidP="008B0D14">
      <w:pPr>
        <w:tabs>
          <w:tab w:val="left" w:pos="540"/>
          <w:tab w:val="left" w:pos="907"/>
        </w:tabs>
        <w:overflowPunct w:val="0"/>
        <w:autoSpaceDE w:val="0"/>
        <w:autoSpaceDN w:val="0"/>
        <w:adjustRightInd w:val="0"/>
        <w:spacing w:after="0" w:line="280" w:lineRule="exact"/>
        <w:ind w:left="907" w:hanging="907"/>
        <w:jc w:val="both"/>
        <w:rPr>
          <w:rFonts w:ascii="Helvetica" w:eastAsia="Times New Roman" w:hAnsi="Helvetica" w:cs="Helvetica"/>
          <w:sz w:val="24"/>
          <w:szCs w:val="24"/>
        </w:rPr>
      </w:pPr>
      <w:r w:rsidRPr="008B0D14">
        <w:rPr>
          <w:rFonts w:ascii="Helvetica" w:eastAsia="Times New Roman" w:hAnsi="Helvetica" w:cs="Helvetica"/>
          <w:sz w:val="24"/>
          <w:szCs w:val="24"/>
        </w:rPr>
        <w:lastRenderedPageBreak/>
        <w:tab/>
        <w:t>c.</w:t>
      </w:r>
      <w:r w:rsidRPr="008B0D14">
        <w:rPr>
          <w:rFonts w:ascii="Helvetica" w:eastAsia="Times New Roman" w:hAnsi="Helvetica" w:cs="Helvetica"/>
          <w:sz w:val="24"/>
          <w:szCs w:val="24"/>
        </w:rPr>
        <w:tab/>
        <w:t>Determine the net noncurrent amount by summing the various deferred tax assets and liabilities classified as noncurrent. If the net result is an asset, report on the balance sheet as a noncurrent asset; if a liability, report as a long-term liability.</w:t>
      </w:r>
    </w:p>
    <w:p w:rsidR="008B0D14" w:rsidRPr="008B0D14" w:rsidRDefault="008B0D14" w:rsidP="008B0D14">
      <w:pPr>
        <w:spacing w:after="0" w:line="200" w:lineRule="exact"/>
        <w:rPr>
          <w:rFonts w:ascii="Helvetica" w:eastAsia="Times New Roman" w:hAnsi="Helvetica" w:cs="Helvetica"/>
          <w:sz w:val="24"/>
          <w:szCs w:val="24"/>
        </w:rPr>
      </w:pPr>
    </w:p>
    <w:p w:rsidR="008B0D14" w:rsidRPr="008B0D14" w:rsidRDefault="008B0D14" w:rsidP="008B0D14">
      <w:pPr>
        <w:spacing w:after="0" w:line="280" w:lineRule="exact"/>
        <w:rPr>
          <w:rFonts w:ascii="Helvetica" w:eastAsia="Times New Roman" w:hAnsi="Helvetica" w:cs="Helvetica"/>
          <w:sz w:val="24"/>
          <w:szCs w:val="24"/>
        </w:rPr>
      </w:pPr>
      <w:r w:rsidRPr="008B0D14">
        <w:rPr>
          <w:rFonts w:ascii="Helvetica" w:eastAsia="Times New Roman" w:hAnsi="Helvetica" w:cs="Helvetica"/>
          <w:b/>
          <w:bCs/>
          <w:sz w:val="24"/>
          <w:szCs w:val="24"/>
          <w:u w:val="single"/>
        </w:rPr>
        <w:t>Income Statement Presentation</w:t>
      </w:r>
    </w:p>
    <w:p w:rsidR="008B0D14" w:rsidRPr="008B0D14" w:rsidRDefault="008B0D14" w:rsidP="008B0D14">
      <w:pPr>
        <w:spacing w:after="0" w:line="280" w:lineRule="exact"/>
        <w:rPr>
          <w:rFonts w:ascii="Helvetica" w:eastAsia="Times New Roman" w:hAnsi="Helvetica" w:cs="Helvetica"/>
          <w:sz w:val="24"/>
          <w:szCs w:val="24"/>
        </w:rPr>
      </w:pPr>
    </w:p>
    <w:p w:rsidR="008B0D14" w:rsidRPr="008B0D14" w:rsidRDefault="008B0D14" w:rsidP="008B0D14">
      <w:pPr>
        <w:tabs>
          <w:tab w:val="right" w:pos="360"/>
          <w:tab w:val="left" w:pos="540"/>
        </w:tabs>
        <w:spacing w:after="0" w:line="280" w:lineRule="exact"/>
        <w:ind w:left="547" w:hanging="547"/>
        <w:jc w:val="both"/>
        <w:rPr>
          <w:rFonts w:ascii="Helvetica" w:eastAsia="Times New Roman" w:hAnsi="Helvetica" w:cs="Helvetica"/>
          <w:sz w:val="24"/>
          <w:szCs w:val="24"/>
        </w:rPr>
      </w:pPr>
      <w:r w:rsidRPr="008B0D14">
        <w:rPr>
          <w:rFonts w:ascii="Helvetica" w:eastAsia="Times New Roman" w:hAnsi="Helvetica" w:cs="Helvetica"/>
          <w:sz w:val="24"/>
          <w:szCs w:val="24"/>
        </w:rPr>
        <w:tab/>
        <w:t>20.</w:t>
      </w:r>
      <w:r w:rsidRPr="008B0D14">
        <w:rPr>
          <w:rFonts w:ascii="Helvetica" w:eastAsia="Times New Roman" w:hAnsi="Helvetica" w:cs="Helvetica"/>
          <w:sz w:val="24"/>
          <w:szCs w:val="24"/>
        </w:rPr>
        <w:tab/>
      </w:r>
      <w:r w:rsidRPr="008B0D14">
        <w:rPr>
          <w:rFonts w:ascii="Helvetica" w:eastAsia="Times New Roman" w:hAnsi="Helvetica" w:cs="Helvetica"/>
          <w:spacing w:val="-4"/>
          <w:sz w:val="24"/>
          <w:szCs w:val="24"/>
        </w:rPr>
        <w:t xml:space="preserve">Income tax expense (or benefit) should be allocated to continuing operations, discontinued operations, extraordinary items, and prior period adjustments. This approach is referred to as </w:t>
      </w:r>
      <w:proofErr w:type="spellStart"/>
      <w:r w:rsidRPr="008B0D14">
        <w:rPr>
          <w:rFonts w:ascii="Helvetica" w:eastAsia="Times New Roman" w:hAnsi="Helvetica" w:cs="Helvetica"/>
          <w:b/>
          <w:bCs/>
          <w:spacing w:val="-4"/>
          <w:sz w:val="24"/>
          <w:szCs w:val="24"/>
        </w:rPr>
        <w:t>intraperiod</w:t>
      </w:r>
      <w:proofErr w:type="spellEnd"/>
      <w:r w:rsidRPr="008B0D14">
        <w:rPr>
          <w:rFonts w:ascii="Helvetica" w:eastAsia="Times New Roman" w:hAnsi="Helvetica" w:cs="Helvetica"/>
          <w:b/>
          <w:bCs/>
          <w:spacing w:val="-4"/>
          <w:sz w:val="24"/>
          <w:szCs w:val="24"/>
        </w:rPr>
        <w:t xml:space="preserve"> tax allocation. </w:t>
      </w:r>
      <w:r w:rsidRPr="008B0D14">
        <w:rPr>
          <w:rFonts w:ascii="Helvetica" w:eastAsia="Times New Roman" w:hAnsi="Helvetica" w:cs="Helvetica"/>
          <w:spacing w:val="-4"/>
          <w:sz w:val="24"/>
          <w:szCs w:val="24"/>
        </w:rPr>
        <w:t xml:space="preserve">In addition, the significant components of income tax expense attributable to continuing operations should be disclosed. Companies are also required to reconcile income tax expense on continuing operations with the amount that results from applying domestic federal statutory tax rates to pretax income from continuing operations. The amounts of any operating loss </w:t>
      </w:r>
      <w:proofErr w:type="spellStart"/>
      <w:r w:rsidRPr="008B0D14">
        <w:rPr>
          <w:rFonts w:ascii="Helvetica" w:eastAsia="Times New Roman" w:hAnsi="Helvetica" w:cs="Helvetica"/>
          <w:spacing w:val="-4"/>
          <w:sz w:val="24"/>
          <w:szCs w:val="24"/>
        </w:rPr>
        <w:t>carryforwards</w:t>
      </w:r>
      <w:proofErr w:type="spellEnd"/>
      <w:r w:rsidRPr="008B0D14">
        <w:rPr>
          <w:rFonts w:ascii="Helvetica" w:eastAsia="Times New Roman" w:hAnsi="Helvetica" w:cs="Helvetica"/>
          <w:spacing w:val="-4"/>
          <w:sz w:val="24"/>
          <w:szCs w:val="24"/>
        </w:rPr>
        <w:t xml:space="preserve"> not recognized in the loss period, along with the expiration of these loss </w:t>
      </w:r>
      <w:proofErr w:type="spellStart"/>
      <w:r w:rsidRPr="008B0D14">
        <w:rPr>
          <w:rFonts w:ascii="Helvetica" w:eastAsia="Times New Roman" w:hAnsi="Helvetica" w:cs="Helvetica"/>
          <w:spacing w:val="-4"/>
          <w:sz w:val="24"/>
          <w:szCs w:val="24"/>
        </w:rPr>
        <w:t>carryforwards</w:t>
      </w:r>
      <w:proofErr w:type="spellEnd"/>
      <w:r w:rsidRPr="008B0D14">
        <w:rPr>
          <w:rFonts w:ascii="Helvetica" w:eastAsia="Times New Roman" w:hAnsi="Helvetica" w:cs="Helvetica"/>
          <w:spacing w:val="-4"/>
          <w:sz w:val="24"/>
          <w:szCs w:val="24"/>
        </w:rPr>
        <w:t>, should be disclosed.</w:t>
      </w:r>
    </w:p>
    <w:p w:rsidR="008B0D14" w:rsidRPr="008B0D14" w:rsidRDefault="008B0D14" w:rsidP="008B0D14">
      <w:pPr>
        <w:tabs>
          <w:tab w:val="right" w:pos="441"/>
          <w:tab w:val="left" w:pos="540"/>
        </w:tabs>
        <w:spacing w:after="0" w:line="280" w:lineRule="exact"/>
        <w:ind w:left="547" w:hanging="547"/>
        <w:jc w:val="both"/>
        <w:rPr>
          <w:rFonts w:ascii="Helvetica" w:eastAsia="Times New Roman" w:hAnsi="Helvetica" w:cs="Helvetica"/>
          <w:sz w:val="24"/>
          <w:szCs w:val="24"/>
        </w:rPr>
      </w:pPr>
      <w:r w:rsidRPr="008B0D14">
        <w:rPr>
          <w:rFonts w:ascii="Helvetica" w:eastAsia="Times New Roman" w:hAnsi="Helvetica" w:cs="Helvetica"/>
          <w:sz w:val="24"/>
          <w:szCs w:val="24"/>
        </w:rPr>
        <w:tab/>
        <w:t>21.</w:t>
      </w:r>
      <w:r w:rsidRPr="008B0D14">
        <w:rPr>
          <w:rFonts w:ascii="Helvetica" w:eastAsia="Times New Roman" w:hAnsi="Helvetica" w:cs="Helvetica"/>
          <w:sz w:val="24"/>
          <w:szCs w:val="24"/>
        </w:rPr>
        <w:tab/>
        <w:t>Uncertain tax positions are tax positions for which the tax authorities may disallow a deduction in whole or in part. Uncertain tax positions arise when companies take an aggressive approach to tax planning. FASB recently issued rules for companies to follow to determine whether it is “more likely than not” that the tax positions will be sustained upon audit. If the probability is more than 50%, companies may reduce their liabilities or increase their assets.</w:t>
      </w:r>
    </w:p>
    <w:p w:rsidR="009E5325" w:rsidRDefault="009E5325"/>
    <w:sectPr w:rsidR="009E532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Helvetica">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0D14"/>
    <w:rsid w:val="000768CA"/>
    <w:rsid w:val="00233DE6"/>
    <w:rsid w:val="004140B1"/>
    <w:rsid w:val="008B0D14"/>
    <w:rsid w:val="009E53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1757</Words>
  <Characters>10016</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ADNAN</dc:creator>
  <cp:lastModifiedBy>ADNAN</cp:lastModifiedBy>
  <cp:revision>2</cp:revision>
  <dcterms:created xsi:type="dcterms:W3CDTF">2012-12-30T20:54:00Z</dcterms:created>
  <dcterms:modified xsi:type="dcterms:W3CDTF">2012-12-30T20:54:00Z</dcterms:modified>
</cp:coreProperties>
</file>