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890" w:rsidRPr="00C73890" w:rsidRDefault="00C73890" w:rsidP="00C73890">
      <w:pPr>
        <w:spacing w:after="0" w:line="400" w:lineRule="exact"/>
        <w:jc w:val="center"/>
        <w:rPr>
          <w:rFonts w:ascii="Helvetica" w:eastAsia="Times New Roman" w:hAnsi="Helvetica" w:cs="Helvetica"/>
          <w:b/>
          <w:bCs/>
          <w:sz w:val="36"/>
          <w:szCs w:val="36"/>
          <w:u w:val="single"/>
        </w:rPr>
      </w:pPr>
      <w:r w:rsidRPr="00C73890">
        <w:rPr>
          <w:rFonts w:ascii="Helvetica" w:eastAsia="Times New Roman" w:hAnsi="Helvetica" w:cs="Helvetica"/>
          <w:b/>
          <w:bCs/>
          <w:sz w:val="36"/>
          <w:szCs w:val="36"/>
          <w:u w:val="single"/>
        </w:rPr>
        <w:t>Lecture 19</w:t>
      </w:r>
    </w:p>
    <w:p w:rsidR="00C73890" w:rsidRPr="00C73890" w:rsidRDefault="00C73890" w:rsidP="00C73890">
      <w:pPr>
        <w:spacing w:after="0" w:line="400" w:lineRule="exact"/>
        <w:jc w:val="center"/>
        <w:rPr>
          <w:rFonts w:ascii="Helvetica" w:eastAsia="Times New Roman" w:hAnsi="Helvetica" w:cs="Helvetica"/>
          <w:b/>
          <w:bCs/>
          <w:sz w:val="36"/>
          <w:szCs w:val="36"/>
          <w:u w:val="single"/>
        </w:rPr>
      </w:pPr>
      <w:r w:rsidRPr="00C73890">
        <w:rPr>
          <w:rFonts w:ascii="Helvetica" w:eastAsia="Times New Roman" w:hAnsi="Helvetica" w:cs="Helvetica"/>
          <w:b/>
          <w:bCs/>
          <w:sz w:val="36"/>
          <w:szCs w:val="36"/>
          <w:u w:val="single"/>
        </w:rPr>
        <w:t>Investments</w:t>
      </w:r>
    </w:p>
    <w:p w:rsidR="00C73890" w:rsidRDefault="00C73890" w:rsidP="00C73890">
      <w:pPr>
        <w:spacing w:after="0" w:line="240" w:lineRule="auto"/>
        <w:outlineLvl w:val="0"/>
        <w:rPr>
          <w:rFonts w:ascii="Helvetica" w:eastAsia="Times New Roman" w:hAnsi="Helvetica" w:cs="Helvetica"/>
          <w:b/>
          <w:bCs/>
          <w:sz w:val="24"/>
          <w:szCs w:val="24"/>
          <w:u w:val="single"/>
        </w:rPr>
      </w:pPr>
    </w:p>
    <w:p w:rsidR="00C73890" w:rsidRPr="00E622B5" w:rsidRDefault="00C73890" w:rsidP="00C73890">
      <w:pPr>
        <w:spacing w:after="0" w:line="240" w:lineRule="auto"/>
        <w:outlineLvl w:val="0"/>
        <w:rPr>
          <w:rFonts w:ascii="Helvetica" w:eastAsia="Times New Roman" w:hAnsi="Helvetica" w:cs="Helvetica"/>
          <w:b/>
          <w:bCs/>
          <w:sz w:val="24"/>
          <w:szCs w:val="24"/>
          <w:u w:val="single"/>
        </w:rPr>
      </w:pPr>
      <w:r w:rsidRPr="00E622B5">
        <w:rPr>
          <w:rFonts w:ascii="Helvetica" w:eastAsia="Times New Roman" w:hAnsi="Helvetica" w:cs="Helvetica"/>
          <w:b/>
          <w:bCs/>
          <w:sz w:val="24"/>
          <w:szCs w:val="24"/>
          <w:u w:val="single"/>
        </w:rPr>
        <w:t>Fair Value Option</w:t>
      </w:r>
    </w:p>
    <w:p w:rsidR="00C73890" w:rsidRPr="00E622B5" w:rsidRDefault="00C73890" w:rsidP="00C73890">
      <w:pPr>
        <w:spacing w:after="0" w:line="240" w:lineRule="auto"/>
        <w:rPr>
          <w:rFonts w:ascii="Helvetica" w:eastAsia="Times New Roman" w:hAnsi="Helvetica" w:cs="Helvetica"/>
          <w:sz w:val="24"/>
          <w:szCs w:val="24"/>
        </w:rPr>
      </w:pPr>
    </w:p>
    <w:p w:rsidR="00C73890" w:rsidRPr="00E622B5" w:rsidRDefault="00C73890" w:rsidP="00C73890">
      <w:pPr>
        <w:tabs>
          <w:tab w:val="right" w:pos="360"/>
          <w:tab w:val="left" w:pos="540"/>
        </w:tabs>
        <w:spacing w:after="0" w:line="280" w:lineRule="exact"/>
        <w:ind w:left="547" w:hanging="547"/>
        <w:jc w:val="both"/>
        <w:rPr>
          <w:rFonts w:ascii="Helvetica" w:eastAsia="Times New Roman" w:hAnsi="Helvetica" w:cs="Helvetica"/>
          <w:sz w:val="24"/>
          <w:szCs w:val="24"/>
        </w:rPr>
      </w:pPr>
      <w:r w:rsidRPr="00E622B5">
        <w:rPr>
          <w:rFonts w:ascii="Helvetica" w:eastAsia="Times New Roman" w:hAnsi="Helvetica" w:cs="Helvetica"/>
          <w:sz w:val="24"/>
          <w:szCs w:val="24"/>
        </w:rPr>
        <w:tab/>
      </w:r>
      <w:r>
        <w:rPr>
          <w:rFonts w:ascii="Helvetica" w:eastAsia="Times New Roman" w:hAnsi="Helvetica" w:cs="Helvetica"/>
          <w:sz w:val="24"/>
          <w:szCs w:val="24"/>
        </w:rPr>
        <w:t>1</w:t>
      </w:r>
      <w:r w:rsidRPr="00E622B5">
        <w:rPr>
          <w:rFonts w:ascii="Helvetica" w:eastAsia="Times New Roman" w:hAnsi="Helvetica" w:cs="Helvetica"/>
          <w:sz w:val="24"/>
          <w:szCs w:val="24"/>
        </w:rPr>
        <w:t>.</w:t>
      </w:r>
      <w:r w:rsidRPr="00E622B5">
        <w:rPr>
          <w:rFonts w:ascii="Helvetica" w:eastAsia="Times New Roman" w:hAnsi="Helvetica" w:cs="Helvetica"/>
          <w:sz w:val="24"/>
          <w:szCs w:val="24"/>
        </w:rPr>
        <w:tab/>
        <w:t>Companies have the option to report most financial assets and liabilities at fair value, with gains and losses reported in net income. The fair value option is only available at the acquisition date or date incurred, and applies on a security-by-security basis. When the fair value option in selected, it must be used for the life of the instrument.</w:t>
      </w:r>
      <w:bookmarkStart w:id="0" w:name="_GoBack"/>
      <w:bookmarkEnd w:id="0"/>
    </w:p>
    <w:p w:rsidR="00C73890" w:rsidRPr="00E622B5" w:rsidRDefault="00C73890" w:rsidP="00C73890">
      <w:pPr>
        <w:spacing w:after="0" w:line="240" w:lineRule="auto"/>
        <w:rPr>
          <w:rFonts w:ascii="Helvetica" w:eastAsia="Times New Roman" w:hAnsi="Helvetica" w:cs="Helvetica"/>
          <w:sz w:val="24"/>
          <w:szCs w:val="24"/>
        </w:rPr>
      </w:pPr>
    </w:p>
    <w:p w:rsidR="00C73890" w:rsidRPr="00E622B5" w:rsidRDefault="00C73890" w:rsidP="00C73890">
      <w:pPr>
        <w:tabs>
          <w:tab w:val="right" w:pos="360"/>
          <w:tab w:val="left" w:pos="540"/>
        </w:tabs>
        <w:spacing w:after="160" w:line="280" w:lineRule="exact"/>
        <w:ind w:left="547" w:hanging="547"/>
        <w:jc w:val="both"/>
        <w:rPr>
          <w:rFonts w:ascii="Helvetica" w:eastAsia="Times New Roman" w:hAnsi="Helvetica" w:cs="Helvetica"/>
          <w:sz w:val="24"/>
          <w:szCs w:val="24"/>
        </w:rPr>
      </w:pPr>
      <w:r w:rsidRPr="00E622B5">
        <w:rPr>
          <w:rFonts w:ascii="Helvetica" w:eastAsia="Times New Roman" w:hAnsi="Helvetica" w:cs="Helvetica"/>
          <w:sz w:val="24"/>
          <w:szCs w:val="24"/>
        </w:rPr>
        <w:tab/>
      </w:r>
      <w:r>
        <w:rPr>
          <w:rFonts w:ascii="Helvetica" w:eastAsia="Times New Roman" w:hAnsi="Helvetica" w:cs="Helvetica"/>
          <w:sz w:val="24"/>
          <w:szCs w:val="24"/>
        </w:rPr>
        <w:t>2</w:t>
      </w:r>
      <w:r w:rsidRPr="00E622B5">
        <w:rPr>
          <w:rFonts w:ascii="Helvetica" w:eastAsia="Times New Roman" w:hAnsi="Helvetica" w:cs="Helvetica"/>
          <w:sz w:val="24"/>
          <w:szCs w:val="24"/>
        </w:rPr>
        <w:t>.</w:t>
      </w:r>
      <w:r w:rsidRPr="00E622B5">
        <w:rPr>
          <w:rFonts w:ascii="Helvetica" w:eastAsia="Times New Roman" w:hAnsi="Helvetica" w:cs="Helvetica"/>
          <w:sz w:val="24"/>
          <w:szCs w:val="24"/>
        </w:rPr>
        <w:tab/>
        <w:t>When the fair value option is used for</w:t>
      </w:r>
    </w:p>
    <w:p w:rsidR="00C73890" w:rsidRPr="00E622B5" w:rsidRDefault="00C73890" w:rsidP="00C73890">
      <w:pPr>
        <w:tabs>
          <w:tab w:val="left" w:pos="540"/>
          <w:tab w:val="left" w:pos="907"/>
        </w:tabs>
        <w:overflowPunct w:val="0"/>
        <w:autoSpaceDE w:val="0"/>
        <w:autoSpaceDN w:val="0"/>
        <w:adjustRightInd w:val="0"/>
        <w:spacing w:after="120" w:line="280" w:lineRule="exact"/>
        <w:ind w:left="907" w:hanging="907"/>
        <w:jc w:val="both"/>
        <w:rPr>
          <w:rFonts w:ascii="Helvetica" w:eastAsia="Times New Roman" w:hAnsi="Helvetica" w:cs="Helvetica"/>
          <w:sz w:val="24"/>
          <w:szCs w:val="24"/>
        </w:rPr>
      </w:pPr>
      <w:r w:rsidRPr="00E622B5">
        <w:rPr>
          <w:rFonts w:ascii="Helvetica" w:eastAsia="Times New Roman" w:hAnsi="Helvetica" w:cs="Helvetica"/>
          <w:sz w:val="24"/>
          <w:szCs w:val="24"/>
        </w:rPr>
        <w:tab/>
        <w:t>a.</w:t>
      </w:r>
      <w:r w:rsidRPr="00E622B5">
        <w:rPr>
          <w:rFonts w:ascii="Helvetica" w:eastAsia="Times New Roman" w:hAnsi="Helvetica" w:cs="Helvetica"/>
          <w:sz w:val="24"/>
          <w:szCs w:val="24"/>
        </w:rPr>
        <w:tab/>
      </w:r>
      <w:r w:rsidRPr="00E622B5">
        <w:rPr>
          <w:rFonts w:ascii="Helvetica" w:eastAsia="Times New Roman" w:hAnsi="Helvetica" w:cs="Helvetica"/>
          <w:b/>
          <w:bCs/>
          <w:sz w:val="24"/>
          <w:szCs w:val="24"/>
        </w:rPr>
        <w:t>Available-for-sale securities,</w:t>
      </w:r>
      <w:r w:rsidRPr="00E622B5">
        <w:rPr>
          <w:rFonts w:ascii="Helvetica" w:eastAsia="Times New Roman" w:hAnsi="Helvetica" w:cs="Helvetica"/>
          <w:sz w:val="24"/>
          <w:szCs w:val="24"/>
        </w:rPr>
        <w:t xml:space="preserve"> gains and losses related to changes in fair value are reported in net income (rather than as part of comprehensive income).</w:t>
      </w:r>
    </w:p>
    <w:p w:rsidR="00C73890" w:rsidRPr="00E622B5" w:rsidRDefault="00C73890" w:rsidP="00C73890">
      <w:pPr>
        <w:tabs>
          <w:tab w:val="left" w:pos="540"/>
          <w:tab w:val="left" w:pos="907"/>
        </w:tabs>
        <w:overflowPunct w:val="0"/>
        <w:autoSpaceDE w:val="0"/>
        <w:autoSpaceDN w:val="0"/>
        <w:adjustRightInd w:val="0"/>
        <w:spacing w:after="120" w:line="280" w:lineRule="exact"/>
        <w:ind w:left="907" w:hanging="907"/>
        <w:jc w:val="both"/>
        <w:rPr>
          <w:rFonts w:ascii="Helvetica" w:eastAsia="Times New Roman" w:hAnsi="Helvetica" w:cs="Helvetica"/>
          <w:sz w:val="24"/>
          <w:szCs w:val="24"/>
        </w:rPr>
      </w:pPr>
      <w:r w:rsidRPr="00E622B5">
        <w:rPr>
          <w:rFonts w:ascii="Helvetica" w:eastAsia="Times New Roman" w:hAnsi="Helvetica" w:cs="Helvetica"/>
          <w:sz w:val="24"/>
          <w:szCs w:val="24"/>
        </w:rPr>
        <w:tab/>
        <w:t>b.</w:t>
      </w:r>
      <w:r w:rsidRPr="00E622B5">
        <w:rPr>
          <w:rFonts w:ascii="Helvetica" w:eastAsia="Times New Roman" w:hAnsi="Helvetica" w:cs="Helvetica"/>
          <w:sz w:val="24"/>
          <w:szCs w:val="24"/>
        </w:rPr>
        <w:tab/>
      </w:r>
      <w:r w:rsidRPr="00E622B5">
        <w:rPr>
          <w:rFonts w:ascii="Helvetica" w:eastAsia="Times New Roman" w:hAnsi="Helvetica" w:cs="Helvetica"/>
          <w:b/>
          <w:bCs/>
          <w:sz w:val="24"/>
          <w:szCs w:val="24"/>
        </w:rPr>
        <w:t>Equity method investments,</w:t>
      </w:r>
      <w:r w:rsidRPr="00E622B5">
        <w:rPr>
          <w:rFonts w:ascii="Helvetica" w:eastAsia="Times New Roman" w:hAnsi="Helvetica" w:cs="Helvetica"/>
          <w:sz w:val="24"/>
          <w:szCs w:val="24"/>
        </w:rPr>
        <w:t xml:space="preserve"> the investor does not report it share of the investee income or loss, rather, changes in the fair value of the investment are reported in net income. Likewise, the receipt of dividends would be recorded as dividend revenue rather than as a reduction of the investment account.</w:t>
      </w:r>
    </w:p>
    <w:p w:rsidR="00C73890" w:rsidRPr="00E622B5" w:rsidRDefault="00C73890" w:rsidP="00C73890">
      <w:pPr>
        <w:tabs>
          <w:tab w:val="left" w:pos="540"/>
          <w:tab w:val="left" w:pos="907"/>
        </w:tabs>
        <w:overflowPunct w:val="0"/>
        <w:autoSpaceDE w:val="0"/>
        <w:autoSpaceDN w:val="0"/>
        <w:adjustRightInd w:val="0"/>
        <w:spacing w:after="0" w:line="280" w:lineRule="exact"/>
        <w:ind w:left="907" w:hanging="907"/>
        <w:jc w:val="both"/>
        <w:rPr>
          <w:rFonts w:ascii="Helvetica" w:eastAsia="Times New Roman" w:hAnsi="Helvetica" w:cs="Helvetica"/>
          <w:sz w:val="24"/>
          <w:szCs w:val="24"/>
        </w:rPr>
      </w:pPr>
      <w:r w:rsidRPr="00E622B5">
        <w:rPr>
          <w:rFonts w:ascii="Helvetica" w:eastAsia="Times New Roman" w:hAnsi="Helvetica" w:cs="Helvetica"/>
          <w:sz w:val="24"/>
          <w:szCs w:val="24"/>
        </w:rPr>
        <w:tab/>
        <w:t>c.</w:t>
      </w:r>
      <w:r w:rsidRPr="00E622B5">
        <w:rPr>
          <w:rFonts w:ascii="Helvetica" w:eastAsia="Times New Roman" w:hAnsi="Helvetica" w:cs="Helvetica"/>
          <w:sz w:val="24"/>
          <w:szCs w:val="24"/>
        </w:rPr>
        <w:tab/>
      </w:r>
      <w:r w:rsidRPr="00E622B5">
        <w:rPr>
          <w:rFonts w:ascii="Helvetica" w:eastAsia="Times New Roman" w:hAnsi="Helvetica" w:cs="Helvetica"/>
          <w:b/>
          <w:bCs/>
          <w:sz w:val="24"/>
          <w:szCs w:val="24"/>
        </w:rPr>
        <w:t>Financial liabilities,</w:t>
      </w:r>
      <w:r w:rsidRPr="00E622B5">
        <w:rPr>
          <w:rFonts w:ascii="Helvetica" w:eastAsia="Times New Roman" w:hAnsi="Helvetica" w:cs="Helvetica"/>
          <w:sz w:val="24"/>
          <w:szCs w:val="24"/>
        </w:rPr>
        <w:t xml:space="preserve"> a company revalues its own liabilities, with gains and losses reported in net income. That is, when the market price of a company’s bonds declines, the company will reduce the liability and record a gain in the income statement.</w:t>
      </w:r>
    </w:p>
    <w:p w:rsidR="00C73890" w:rsidRPr="00E622B5" w:rsidRDefault="00C73890" w:rsidP="00C73890">
      <w:pPr>
        <w:spacing w:after="0" w:line="280" w:lineRule="exact"/>
        <w:jc w:val="both"/>
        <w:rPr>
          <w:rFonts w:ascii="Helvetica" w:eastAsia="Times New Roman" w:hAnsi="Helvetica" w:cs="Helvetica"/>
          <w:sz w:val="24"/>
          <w:szCs w:val="24"/>
        </w:rPr>
      </w:pPr>
    </w:p>
    <w:p w:rsidR="00C73890" w:rsidRPr="00E622B5" w:rsidRDefault="00C73890" w:rsidP="00C73890">
      <w:pPr>
        <w:spacing w:after="0" w:line="280" w:lineRule="exact"/>
        <w:jc w:val="both"/>
        <w:rPr>
          <w:rFonts w:ascii="Helvetica" w:eastAsia="Times New Roman" w:hAnsi="Helvetica" w:cs="Helvetica"/>
          <w:sz w:val="24"/>
          <w:szCs w:val="24"/>
        </w:rPr>
      </w:pPr>
      <w:r w:rsidRPr="00E622B5">
        <w:rPr>
          <w:rFonts w:ascii="Helvetica" w:eastAsia="Times New Roman" w:hAnsi="Helvetica" w:cs="Helvetica"/>
          <w:b/>
          <w:bCs/>
          <w:sz w:val="24"/>
          <w:szCs w:val="24"/>
          <w:u w:val="single"/>
        </w:rPr>
        <w:t>Impaired Investments</w:t>
      </w:r>
    </w:p>
    <w:p w:rsidR="00C73890" w:rsidRPr="00E622B5" w:rsidRDefault="00C73890" w:rsidP="00C73890">
      <w:pPr>
        <w:spacing w:after="0" w:line="280" w:lineRule="exact"/>
        <w:jc w:val="both"/>
        <w:rPr>
          <w:rFonts w:ascii="Helvetica" w:eastAsia="Times New Roman" w:hAnsi="Helvetica" w:cs="Helvetica"/>
          <w:sz w:val="24"/>
          <w:szCs w:val="24"/>
        </w:rPr>
      </w:pPr>
    </w:p>
    <w:p w:rsidR="00C73890" w:rsidRPr="00E622B5" w:rsidRDefault="00C73890" w:rsidP="00C73890">
      <w:pPr>
        <w:tabs>
          <w:tab w:val="right" w:pos="360"/>
          <w:tab w:val="left" w:pos="540"/>
        </w:tabs>
        <w:spacing w:after="0" w:line="280" w:lineRule="exact"/>
        <w:ind w:left="547" w:hanging="547"/>
        <w:jc w:val="both"/>
        <w:rPr>
          <w:rFonts w:ascii="Helvetica" w:eastAsia="Times New Roman" w:hAnsi="Helvetica" w:cs="Helvetica"/>
          <w:sz w:val="24"/>
          <w:szCs w:val="24"/>
        </w:rPr>
      </w:pPr>
      <w:r w:rsidRPr="00E622B5">
        <w:rPr>
          <w:rFonts w:ascii="Helvetica" w:eastAsia="Times New Roman" w:hAnsi="Helvetica" w:cs="Helvetica"/>
          <w:sz w:val="24"/>
          <w:szCs w:val="24"/>
        </w:rPr>
        <w:tab/>
      </w:r>
      <w:r>
        <w:rPr>
          <w:rFonts w:ascii="Helvetica" w:eastAsia="Times New Roman" w:hAnsi="Helvetica" w:cs="Helvetica"/>
          <w:sz w:val="24"/>
          <w:szCs w:val="24"/>
        </w:rPr>
        <w:t>3</w:t>
      </w:r>
      <w:r w:rsidRPr="00E622B5">
        <w:rPr>
          <w:rFonts w:ascii="Helvetica" w:eastAsia="Times New Roman" w:hAnsi="Helvetica" w:cs="Helvetica"/>
          <w:sz w:val="24"/>
          <w:szCs w:val="24"/>
        </w:rPr>
        <w:t>.</w:t>
      </w:r>
      <w:r w:rsidRPr="00E622B5">
        <w:rPr>
          <w:rFonts w:ascii="Helvetica" w:eastAsia="Times New Roman" w:hAnsi="Helvetica" w:cs="Helvetica"/>
          <w:sz w:val="24"/>
          <w:szCs w:val="24"/>
        </w:rPr>
        <w:tab/>
        <w:t xml:space="preserve">Each period every investment must be evaluated to determine if it has suffered </w:t>
      </w:r>
      <w:r w:rsidRPr="00E622B5">
        <w:rPr>
          <w:rFonts w:ascii="Helvetica" w:eastAsia="Times New Roman" w:hAnsi="Helvetica" w:cs="Helvetica"/>
          <w:sz w:val="24"/>
          <w:szCs w:val="24"/>
        </w:rPr>
        <w:br/>
        <w:t xml:space="preserve">a loss in value that is other than temporary </w:t>
      </w:r>
      <w:proofErr w:type="gramStart"/>
      <w:r w:rsidRPr="00E622B5">
        <w:rPr>
          <w:rFonts w:ascii="Helvetica" w:eastAsia="Times New Roman" w:hAnsi="Helvetica" w:cs="Helvetica"/>
          <w:sz w:val="24"/>
          <w:szCs w:val="24"/>
        </w:rPr>
        <w:t xml:space="preserve">(an </w:t>
      </w:r>
      <w:r w:rsidRPr="00E622B5">
        <w:rPr>
          <w:rFonts w:ascii="Helvetica" w:eastAsia="Times New Roman" w:hAnsi="Helvetica" w:cs="Helvetica"/>
          <w:b/>
          <w:bCs/>
          <w:sz w:val="24"/>
          <w:szCs w:val="24"/>
        </w:rPr>
        <w:t>impairment</w:t>
      </w:r>
      <w:proofErr w:type="gramEnd"/>
      <w:r w:rsidRPr="00E622B5">
        <w:rPr>
          <w:rFonts w:ascii="Helvetica" w:eastAsia="Times New Roman" w:hAnsi="Helvetica" w:cs="Helvetica"/>
          <w:sz w:val="24"/>
          <w:szCs w:val="24"/>
        </w:rPr>
        <w:t xml:space="preserve">). If an investment is deemed impaired, the cost basis of the individual security is written down to a new cost basis. The amount of the </w:t>
      </w:r>
      <w:proofErr w:type="spellStart"/>
      <w:r w:rsidRPr="00E622B5">
        <w:rPr>
          <w:rFonts w:ascii="Helvetica" w:eastAsia="Times New Roman" w:hAnsi="Helvetica" w:cs="Helvetica"/>
          <w:sz w:val="24"/>
          <w:szCs w:val="24"/>
        </w:rPr>
        <w:t>writedown</w:t>
      </w:r>
      <w:proofErr w:type="spellEnd"/>
      <w:r w:rsidRPr="00E622B5">
        <w:rPr>
          <w:rFonts w:ascii="Helvetica" w:eastAsia="Times New Roman" w:hAnsi="Helvetica" w:cs="Helvetica"/>
          <w:sz w:val="24"/>
          <w:szCs w:val="24"/>
        </w:rPr>
        <w:t xml:space="preserve"> is accounted for as a realized loss and, therefore, included in net income.</w:t>
      </w:r>
    </w:p>
    <w:p w:rsidR="00C73890" w:rsidRPr="00E622B5" w:rsidRDefault="00C73890" w:rsidP="00C73890">
      <w:pPr>
        <w:spacing w:after="0" w:line="280" w:lineRule="exact"/>
        <w:jc w:val="both"/>
        <w:rPr>
          <w:rFonts w:ascii="Helvetica" w:eastAsia="Times New Roman" w:hAnsi="Helvetica" w:cs="Helvetica"/>
          <w:sz w:val="24"/>
          <w:szCs w:val="24"/>
        </w:rPr>
      </w:pPr>
    </w:p>
    <w:p w:rsidR="00C73890" w:rsidRPr="00E622B5" w:rsidRDefault="00C73890" w:rsidP="00C73890">
      <w:pPr>
        <w:spacing w:after="0" w:line="280" w:lineRule="exact"/>
        <w:jc w:val="both"/>
        <w:rPr>
          <w:rFonts w:ascii="Helvetica" w:eastAsia="Times New Roman" w:hAnsi="Helvetica" w:cs="Helvetica"/>
          <w:sz w:val="24"/>
          <w:szCs w:val="24"/>
        </w:rPr>
      </w:pPr>
      <w:r w:rsidRPr="00E622B5">
        <w:rPr>
          <w:rFonts w:ascii="Helvetica" w:eastAsia="Times New Roman" w:hAnsi="Helvetica" w:cs="Helvetica"/>
          <w:b/>
          <w:bCs/>
          <w:sz w:val="24"/>
          <w:szCs w:val="24"/>
          <w:u w:val="single"/>
        </w:rPr>
        <w:t>Reclassification Adjustments</w:t>
      </w:r>
    </w:p>
    <w:p w:rsidR="00C73890" w:rsidRPr="00E622B5" w:rsidRDefault="00C73890" w:rsidP="00C73890">
      <w:pPr>
        <w:spacing w:after="0" w:line="280" w:lineRule="exact"/>
        <w:jc w:val="both"/>
        <w:rPr>
          <w:rFonts w:ascii="Helvetica" w:eastAsia="Times New Roman" w:hAnsi="Helvetica" w:cs="Helvetica"/>
          <w:sz w:val="24"/>
          <w:szCs w:val="24"/>
        </w:rPr>
      </w:pPr>
    </w:p>
    <w:p w:rsidR="00C73890" w:rsidRPr="00E622B5" w:rsidRDefault="00C73890" w:rsidP="00C73890">
      <w:pPr>
        <w:tabs>
          <w:tab w:val="right" w:pos="414"/>
          <w:tab w:val="left" w:pos="540"/>
        </w:tabs>
        <w:spacing w:after="0" w:line="280" w:lineRule="exact"/>
        <w:ind w:left="547" w:hanging="547"/>
        <w:jc w:val="both"/>
        <w:rPr>
          <w:rFonts w:ascii="Helvetica" w:eastAsia="Times New Roman" w:hAnsi="Helvetica" w:cs="Helvetica"/>
          <w:sz w:val="24"/>
          <w:szCs w:val="24"/>
        </w:rPr>
      </w:pPr>
      <w:r w:rsidRPr="00E622B5">
        <w:rPr>
          <w:rFonts w:ascii="Helvetica" w:eastAsia="Times New Roman" w:hAnsi="Helvetica" w:cs="Helvetica"/>
          <w:sz w:val="24"/>
          <w:szCs w:val="24"/>
        </w:rPr>
        <w:tab/>
      </w:r>
      <w:r>
        <w:rPr>
          <w:rFonts w:ascii="Helvetica" w:eastAsia="Times New Roman" w:hAnsi="Helvetica" w:cs="Helvetica"/>
          <w:sz w:val="24"/>
          <w:szCs w:val="24"/>
        </w:rPr>
        <w:t>4</w:t>
      </w:r>
      <w:r w:rsidRPr="00E622B5">
        <w:rPr>
          <w:rFonts w:ascii="Helvetica" w:eastAsia="Times New Roman" w:hAnsi="Helvetica" w:cs="Helvetica"/>
          <w:sz w:val="24"/>
          <w:szCs w:val="24"/>
        </w:rPr>
        <w:t>.</w:t>
      </w:r>
      <w:r w:rsidRPr="00E622B5">
        <w:rPr>
          <w:rFonts w:ascii="Helvetica" w:eastAsia="Times New Roman" w:hAnsi="Helvetica" w:cs="Helvetica"/>
          <w:sz w:val="24"/>
          <w:szCs w:val="24"/>
        </w:rPr>
        <w:tab/>
        <w:t xml:space="preserve">As indicated, unrealized holding gains and losses related to available-for-sale </w:t>
      </w:r>
      <w:r w:rsidRPr="00E622B5">
        <w:rPr>
          <w:rFonts w:ascii="Helvetica" w:eastAsia="Times New Roman" w:hAnsi="Helvetica" w:cs="Helvetica"/>
          <w:spacing w:val="-2"/>
          <w:sz w:val="24"/>
          <w:szCs w:val="24"/>
        </w:rPr>
        <w:t xml:space="preserve">securities are reported as part of other comprehensive income. The reporting of changes in unrealized gains or losses in comprehensive income is straightforward unless securities </w:t>
      </w:r>
      <w:r w:rsidRPr="00E622B5">
        <w:rPr>
          <w:rFonts w:ascii="Helvetica" w:eastAsia="Times New Roman" w:hAnsi="Helvetica" w:cs="Helvetica"/>
          <w:sz w:val="24"/>
          <w:szCs w:val="24"/>
        </w:rPr>
        <w:t>are sold during the year—then a</w:t>
      </w:r>
      <w:r w:rsidRPr="00E622B5">
        <w:rPr>
          <w:rFonts w:ascii="Helvetica" w:eastAsia="Times New Roman" w:hAnsi="Helvetica" w:cs="Helvetica"/>
          <w:b/>
          <w:bCs/>
          <w:sz w:val="24"/>
          <w:szCs w:val="24"/>
        </w:rPr>
        <w:t xml:space="preserve"> reclassification adjustment</w:t>
      </w:r>
      <w:r w:rsidRPr="00E622B5">
        <w:rPr>
          <w:rFonts w:ascii="Helvetica" w:eastAsia="Times New Roman" w:hAnsi="Helvetica" w:cs="Helvetica"/>
          <w:sz w:val="24"/>
          <w:szCs w:val="24"/>
        </w:rPr>
        <w:t xml:space="preserve"> is necessary to ensure that gains and losses are not counted twice.</w:t>
      </w:r>
    </w:p>
    <w:p w:rsidR="00C73890" w:rsidRPr="00E622B5" w:rsidRDefault="00C73890" w:rsidP="00C73890">
      <w:pPr>
        <w:spacing w:after="0" w:line="280" w:lineRule="exact"/>
        <w:jc w:val="both"/>
        <w:rPr>
          <w:rFonts w:ascii="Helvetica" w:eastAsia="Times New Roman" w:hAnsi="Helvetica" w:cs="Helvetica"/>
          <w:sz w:val="24"/>
          <w:szCs w:val="24"/>
        </w:rPr>
      </w:pPr>
    </w:p>
    <w:p w:rsidR="00C73890" w:rsidRPr="00E622B5" w:rsidRDefault="00C73890" w:rsidP="00C73890">
      <w:pPr>
        <w:spacing w:after="0" w:line="280" w:lineRule="exact"/>
        <w:jc w:val="both"/>
        <w:rPr>
          <w:rFonts w:ascii="Helvetica" w:eastAsia="Times New Roman" w:hAnsi="Helvetica" w:cs="Helvetica"/>
          <w:sz w:val="24"/>
          <w:szCs w:val="24"/>
        </w:rPr>
      </w:pPr>
      <w:r w:rsidRPr="00E622B5">
        <w:rPr>
          <w:rFonts w:ascii="Helvetica" w:eastAsia="Times New Roman" w:hAnsi="Helvetica" w:cs="Helvetica"/>
          <w:b/>
          <w:bCs/>
          <w:sz w:val="24"/>
          <w:szCs w:val="24"/>
          <w:u w:val="single"/>
        </w:rPr>
        <w:t xml:space="preserve">Transfers </w:t>
      </w:r>
      <w:proofErr w:type="gramStart"/>
      <w:r w:rsidRPr="00E622B5">
        <w:rPr>
          <w:rFonts w:ascii="Helvetica" w:eastAsia="Times New Roman" w:hAnsi="Helvetica" w:cs="Helvetica"/>
          <w:b/>
          <w:bCs/>
          <w:sz w:val="24"/>
          <w:szCs w:val="24"/>
          <w:u w:val="single"/>
        </w:rPr>
        <w:t>Between</w:t>
      </w:r>
      <w:proofErr w:type="gramEnd"/>
      <w:r w:rsidRPr="00E622B5">
        <w:rPr>
          <w:rFonts w:ascii="Helvetica" w:eastAsia="Times New Roman" w:hAnsi="Helvetica" w:cs="Helvetica"/>
          <w:b/>
          <w:bCs/>
          <w:sz w:val="24"/>
          <w:szCs w:val="24"/>
          <w:u w:val="single"/>
        </w:rPr>
        <w:t xml:space="preserve"> Categories</w:t>
      </w:r>
    </w:p>
    <w:p w:rsidR="00C73890" w:rsidRPr="00E622B5" w:rsidRDefault="00C73890" w:rsidP="00C73890">
      <w:pPr>
        <w:spacing w:after="0" w:line="280" w:lineRule="exact"/>
        <w:jc w:val="both"/>
        <w:rPr>
          <w:rFonts w:ascii="Helvetica" w:eastAsia="Times New Roman" w:hAnsi="Helvetica" w:cs="Helvetica"/>
          <w:sz w:val="24"/>
          <w:szCs w:val="24"/>
        </w:rPr>
      </w:pPr>
    </w:p>
    <w:p w:rsidR="00C73890" w:rsidRPr="00E622B5" w:rsidRDefault="00C73890" w:rsidP="00C73890">
      <w:pPr>
        <w:tabs>
          <w:tab w:val="right" w:pos="414"/>
          <w:tab w:val="left" w:pos="540"/>
        </w:tabs>
        <w:spacing w:after="0" w:line="280" w:lineRule="exact"/>
        <w:ind w:left="547" w:hanging="547"/>
        <w:jc w:val="both"/>
        <w:rPr>
          <w:rFonts w:ascii="Helvetica" w:eastAsia="Times New Roman" w:hAnsi="Helvetica" w:cs="Helvetica"/>
          <w:sz w:val="24"/>
          <w:szCs w:val="24"/>
        </w:rPr>
      </w:pPr>
      <w:r w:rsidRPr="00E622B5">
        <w:rPr>
          <w:rFonts w:ascii="Helvetica" w:eastAsia="Times New Roman" w:hAnsi="Helvetica" w:cs="Helvetica"/>
          <w:sz w:val="24"/>
          <w:szCs w:val="24"/>
        </w:rPr>
        <w:tab/>
      </w:r>
      <w:r>
        <w:rPr>
          <w:rFonts w:ascii="Helvetica" w:eastAsia="Times New Roman" w:hAnsi="Helvetica" w:cs="Helvetica"/>
          <w:sz w:val="24"/>
          <w:szCs w:val="24"/>
        </w:rPr>
        <w:t>5</w:t>
      </w:r>
      <w:r w:rsidRPr="00E622B5">
        <w:rPr>
          <w:rFonts w:ascii="Helvetica" w:eastAsia="Times New Roman" w:hAnsi="Helvetica" w:cs="Helvetica"/>
          <w:sz w:val="24"/>
          <w:szCs w:val="24"/>
        </w:rPr>
        <w:t>.</w:t>
      </w:r>
      <w:r w:rsidRPr="00E622B5">
        <w:rPr>
          <w:rFonts w:ascii="Helvetica" w:eastAsia="Times New Roman" w:hAnsi="Helvetica" w:cs="Helvetica"/>
          <w:sz w:val="24"/>
          <w:szCs w:val="24"/>
        </w:rPr>
        <w:tab/>
        <w:t>Transfers between any of the investment categories are accounted for at fair value. The text gives an illustration of measurement basis and how Stockholders’ Equity and Net Income are impacted upon a transfer between investment categories.</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lastRenderedPageBreak/>
        <w:t>ILLUSTRATION 17-1</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ACCOUNTING FOR DEBT SECURITIES BY CATEGORY</w:t>
      </w:r>
    </w:p>
    <w:p w:rsidR="00C73890" w:rsidRPr="00C73890" w:rsidRDefault="00C73890" w:rsidP="00C73890">
      <w:pPr>
        <w:tabs>
          <w:tab w:val="decimal" w:pos="439"/>
          <w:tab w:val="left" w:pos="802"/>
          <w:tab w:val="left" w:pos="4680"/>
          <w:tab w:val="left" w:pos="5880"/>
        </w:tabs>
        <w:spacing w:after="0" w:line="240" w:lineRule="exact"/>
        <w:jc w:val="both"/>
        <w:rPr>
          <w:rFonts w:ascii="Helvetica" w:eastAsia="Times New Roman" w:hAnsi="Helvetica" w:cs="Helvetica"/>
          <w:b/>
          <w:bCs/>
          <w:sz w:val="32"/>
          <w:szCs w:val="32"/>
        </w:rPr>
      </w:pPr>
    </w:p>
    <w:p w:rsidR="00C73890" w:rsidRPr="00C73890" w:rsidRDefault="00C73890" w:rsidP="00C73890">
      <w:pPr>
        <w:tabs>
          <w:tab w:val="decimal" w:pos="439"/>
          <w:tab w:val="left" w:pos="802"/>
          <w:tab w:val="left" w:pos="4680"/>
          <w:tab w:val="left" w:pos="5880"/>
        </w:tabs>
        <w:spacing w:after="0" w:line="240" w:lineRule="auto"/>
        <w:jc w:val="center"/>
        <w:rPr>
          <w:rFonts w:ascii="Helvetica" w:eastAsia="Times New Roman" w:hAnsi="Helvetica" w:cs="Helvetica"/>
          <w:b/>
          <w:bCs/>
          <w:sz w:val="32"/>
          <w:szCs w:val="32"/>
        </w:rPr>
      </w:pPr>
      <w:r w:rsidRPr="00C73890">
        <w:rPr>
          <w:rFonts w:ascii="Helvetica" w:eastAsia="Times New Roman" w:hAnsi="Helvetica" w:cs="Helvetica"/>
          <w:b/>
          <w:bCs/>
          <w:noProof/>
          <w:sz w:val="32"/>
          <w:szCs w:val="32"/>
        </w:rPr>
        <w:drawing>
          <wp:inline distT="0" distB="0" distL="0" distR="0" wp14:anchorId="70644797" wp14:editId="521B4E9C">
            <wp:extent cx="4124325" cy="707730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srcRect/>
                    <a:stretch>
                      <a:fillRect/>
                    </a:stretch>
                  </pic:blipFill>
                  <pic:spPr bwMode="auto">
                    <a:xfrm>
                      <a:off x="0" y="0"/>
                      <a:ext cx="4127500" cy="7082757"/>
                    </a:xfrm>
                    <a:prstGeom prst="rect">
                      <a:avLst/>
                    </a:prstGeom>
                    <a:noFill/>
                    <a:ln w="9525">
                      <a:noFill/>
                      <a:miter lim="800000"/>
                      <a:headEnd/>
                      <a:tailEnd/>
                    </a:ln>
                  </pic:spPr>
                </pic:pic>
              </a:graphicData>
            </a:graphic>
          </wp:inline>
        </w:drawing>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sz w:val="32"/>
          <w:szCs w:val="32"/>
        </w:rPr>
        <w:br w:type="page"/>
      </w:r>
      <w:r w:rsidRPr="00C73890">
        <w:rPr>
          <w:rFonts w:ascii="Helvetica" w:eastAsia="Times New Roman" w:hAnsi="Helvetica" w:cs="Helvetica"/>
          <w:b/>
          <w:bCs/>
          <w:sz w:val="32"/>
          <w:szCs w:val="32"/>
        </w:rPr>
        <w:lastRenderedPageBreak/>
        <w:t>ILLUSTRATION 17-2</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SCHEDULE OF INTEREST REVENUE AND BOND DISCOUNT</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AMORTIZATION—EFFECTIVE INTEREST METHOD</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p>
    <w:p w:rsidR="00C73890" w:rsidRPr="00C73890" w:rsidRDefault="00C73890" w:rsidP="00C73890">
      <w:pPr>
        <w:tabs>
          <w:tab w:val="decimal" w:pos="439"/>
          <w:tab w:val="left" w:pos="802"/>
          <w:tab w:val="left" w:pos="4680"/>
          <w:tab w:val="left" w:pos="5880"/>
        </w:tabs>
        <w:spacing w:after="0" w:line="240" w:lineRule="auto"/>
        <w:jc w:val="center"/>
        <w:rPr>
          <w:rFonts w:ascii="Helvetica" w:eastAsia="Times New Roman" w:hAnsi="Helvetica" w:cs="Helvetica"/>
          <w:b/>
          <w:bCs/>
          <w:sz w:val="32"/>
          <w:szCs w:val="32"/>
        </w:rPr>
      </w:pPr>
      <w:r w:rsidRPr="00C73890">
        <w:rPr>
          <w:rFonts w:ascii="Helvetica" w:eastAsia="Times New Roman" w:hAnsi="Helvetica" w:cs="Helvetica"/>
          <w:b/>
          <w:bCs/>
          <w:noProof/>
          <w:sz w:val="32"/>
          <w:szCs w:val="32"/>
        </w:rPr>
        <w:drawing>
          <wp:inline distT="0" distB="0" distL="0" distR="0" wp14:anchorId="7CA39FF1" wp14:editId="2C3BE89F">
            <wp:extent cx="6026150" cy="70231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srcRect/>
                    <a:stretch>
                      <a:fillRect/>
                    </a:stretch>
                  </pic:blipFill>
                  <pic:spPr bwMode="auto">
                    <a:xfrm>
                      <a:off x="0" y="0"/>
                      <a:ext cx="6026150" cy="7023100"/>
                    </a:xfrm>
                    <a:prstGeom prst="rect">
                      <a:avLst/>
                    </a:prstGeom>
                    <a:noFill/>
                    <a:ln w="9525">
                      <a:noFill/>
                      <a:miter lim="800000"/>
                      <a:headEnd/>
                      <a:tailEnd/>
                    </a:ln>
                  </pic:spPr>
                </pic:pic>
              </a:graphicData>
            </a:graphic>
          </wp:inline>
        </w:drawing>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28"/>
          <w:szCs w:val="28"/>
        </w:rPr>
        <w:br w:type="page"/>
      </w:r>
      <w:r w:rsidRPr="00C73890">
        <w:rPr>
          <w:rFonts w:ascii="Helvetica" w:eastAsia="Times New Roman" w:hAnsi="Helvetica" w:cs="Helvetica"/>
          <w:b/>
          <w:bCs/>
          <w:sz w:val="32"/>
          <w:szCs w:val="32"/>
        </w:rPr>
        <w:lastRenderedPageBreak/>
        <w:t>ILLUSTRATION 17-3</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ACCOUNTING AND REPORTING FOR EQUITY</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SECURITIES BY CATEGORY</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28"/>
          <w:szCs w:val="28"/>
        </w:rPr>
      </w:pPr>
    </w:p>
    <w:p w:rsidR="00C73890" w:rsidRPr="00C73890" w:rsidRDefault="00C73890" w:rsidP="00C73890">
      <w:pPr>
        <w:tabs>
          <w:tab w:val="decimal" w:pos="439"/>
          <w:tab w:val="left" w:pos="802"/>
          <w:tab w:val="left" w:pos="4680"/>
          <w:tab w:val="left" w:pos="5880"/>
        </w:tabs>
        <w:spacing w:after="0" w:line="240" w:lineRule="auto"/>
        <w:jc w:val="center"/>
        <w:rPr>
          <w:rFonts w:ascii="Helvetica" w:eastAsia="Times New Roman" w:hAnsi="Helvetica" w:cs="Helvetica"/>
          <w:b/>
          <w:bCs/>
          <w:sz w:val="28"/>
          <w:szCs w:val="28"/>
        </w:rPr>
      </w:pPr>
      <w:r w:rsidRPr="00C73890">
        <w:rPr>
          <w:rFonts w:ascii="Helvetica" w:eastAsia="Times New Roman" w:hAnsi="Helvetica" w:cs="Helvetica"/>
          <w:b/>
          <w:bCs/>
          <w:noProof/>
          <w:sz w:val="28"/>
          <w:szCs w:val="28"/>
        </w:rPr>
        <w:drawing>
          <wp:inline distT="0" distB="0" distL="0" distR="0" wp14:anchorId="1157F036" wp14:editId="75A6EFED">
            <wp:extent cx="5038725" cy="69960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5041900" cy="7000437"/>
                    </a:xfrm>
                    <a:prstGeom prst="rect">
                      <a:avLst/>
                    </a:prstGeom>
                    <a:noFill/>
                    <a:ln w="9525">
                      <a:noFill/>
                      <a:miter lim="800000"/>
                      <a:headEnd/>
                      <a:tailEnd/>
                    </a:ln>
                  </pic:spPr>
                </pic:pic>
              </a:graphicData>
            </a:graphic>
          </wp:inline>
        </w:drawing>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28"/>
          <w:szCs w:val="28"/>
        </w:rPr>
        <w:br w:type="page"/>
      </w:r>
      <w:r w:rsidRPr="00C73890">
        <w:rPr>
          <w:rFonts w:ascii="Helvetica" w:eastAsia="Times New Roman" w:hAnsi="Helvetica" w:cs="Helvetica"/>
          <w:b/>
          <w:bCs/>
          <w:sz w:val="32"/>
          <w:szCs w:val="32"/>
        </w:rPr>
        <w:lastRenderedPageBreak/>
        <w:t>ILLUSTRATION 17-4</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ACCOUNTING FOR TRANSFERS</w:t>
      </w:r>
    </w:p>
    <w:p w:rsidR="00C73890" w:rsidRPr="00C73890" w:rsidRDefault="00C73890" w:rsidP="00C73890">
      <w:pPr>
        <w:tabs>
          <w:tab w:val="decimal" w:pos="439"/>
          <w:tab w:val="left" w:pos="802"/>
          <w:tab w:val="left" w:pos="4680"/>
          <w:tab w:val="left" w:pos="5880"/>
        </w:tabs>
        <w:spacing w:after="0" w:line="240" w:lineRule="exact"/>
        <w:jc w:val="both"/>
        <w:rPr>
          <w:rFonts w:ascii="Helvetica" w:eastAsia="Times New Roman" w:hAnsi="Helvetica" w:cs="Helvetica"/>
          <w:b/>
          <w:bCs/>
          <w:sz w:val="32"/>
          <w:szCs w:val="32"/>
        </w:rPr>
      </w:pPr>
    </w:p>
    <w:p w:rsidR="00C73890" w:rsidRPr="00C73890" w:rsidRDefault="00C73890" w:rsidP="00C73890">
      <w:pPr>
        <w:tabs>
          <w:tab w:val="decimal" w:pos="439"/>
          <w:tab w:val="left" w:pos="802"/>
          <w:tab w:val="left" w:pos="4680"/>
          <w:tab w:val="left" w:pos="5880"/>
        </w:tabs>
        <w:spacing w:after="0" w:line="240" w:lineRule="auto"/>
        <w:jc w:val="center"/>
        <w:rPr>
          <w:rFonts w:ascii="Helvetica" w:eastAsia="Times New Roman" w:hAnsi="Helvetica" w:cs="Helvetica"/>
          <w:b/>
          <w:bCs/>
          <w:sz w:val="32"/>
          <w:szCs w:val="32"/>
        </w:rPr>
      </w:pPr>
      <w:r w:rsidRPr="00C73890">
        <w:rPr>
          <w:rFonts w:ascii="Helvetica" w:eastAsia="Times New Roman" w:hAnsi="Helvetica" w:cs="Helvetica"/>
          <w:b/>
          <w:bCs/>
          <w:noProof/>
          <w:sz w:val="32"/>
          <w:szCs w:val="32"/>
        </w:rPr>
        <w:drawing>
          <wp:inline distT="0" distB="0" distL="0" distR="0" wp14:anchorId="204F4CAA" wp14:editId="1D3CC916">
            <wp:extent cx="6057900" cy="6826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srcRect/>
                    <a:stretch>
                      <a:fillRect/>
                    </a:stretch>
                  </pic:blipFill>
                  <pic:spPr bwMode="auto">
                    <a:xfrm>
                      <a:off x="0" y="0"/>
                      <a:ext cx="6057900" cy="6826250"/>
                    </a:xfrm>
                    <a:prstGeom prst="rect">
                      <a:avLst/>
                    </a:prstGeom>
                    <a:noFill/>
                    <a:ln w="9525">
                      <a:noFill/>
                      <a:miter lim="800000"/>
                      <a:headEnd/>
                      <a:tailEnd/>
                    </a:ln>
                  </pic:spPr>
                </pic:pic>
              </a:graphicData>
            </a:graphic>
          </wp:inline>
        </w:drawing>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28"/>
          <w:szCs w:val="28"/>
        </w:rPr>
        <w:br w:type="page"/>
      </w:r>
      <w:r w:rsidRPr="00C73890">
        <w:rPr>
          <w:rFonts w:ascii="Helvetica" w:eastAsia="Times New Roman" w:hAnsi="Helvetica" w:cs="Helvetica"/>
          <w:b/>
          <w:bCs/>
          <w:sz w:val="32"/>
          <w:szCs w:val="32"/>
        </w:rPr>
        <w:lastRenderedPageBreak/>
        <w:t>ILLUSTRATION 17-5</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SUMMARY OF TREATMENT OF MAJOR DEBT</w:t>
      </w:r>
    </w:p>
    <w:p w:rsidR="00C73890" w:rsidRPr="00C73890" w:rsidRDefault="00C73890" w:rsidP="00C73890">
      <w:pPr>
        <w:tabs>
          <w:tab w:val="decimal" w:pos="439"/>
          <w:tab w:val="left" w:pos="802"/>
          <w:tab w:val="left" w:pos="4680"/>
          <w:tab w:val="left" w:pos="5880"/>
        </w:tabs>
        <w:spacing w:after="0" w:line="240" w:lineRule="auto"/>
        <w:jc w:val="both"/>
        <w:rPr>
          <w:rFonts w:ascii="Helvetica" w:eastAsia="Times New Roman" w:hAnsi="Helvetica" w:cs="Helvetica"/>
          <w:b/>
          <w:bCs/>
          <w:sz w:val="32"/>
          <w:szCs w:val="32"/>
        </w:rPr>
      </w:pPr>
      <w:r w:rsidRPr="00C73890">
        <w:rPr>
          <w:rFonts w:ascii="Helvetica" w:eastAsia="Times New Roman" w:hAnsi="Helvetica" w:cs="Helvetica"/>
          <w:b/>
          <w:bCs/>
          <w:sz w:val="32"/>
          <w:szCs w:val="32"/>
        </w:rPr>
        <w:t>AND EQUITY SECURITIES</w:t>
      </w:r>
    </w:p>
    <w:p w:rsidR="00C73890" w:rsidRPr="00C73890" w:rsidRDefault="00C73890" w:rsidP="00C73890">
      <w:pPr>
        <w:tabs>
          <w:tab w:val="decimal" w:pos="438"/>
          <w:tab w:val="left" w:pos="798"/>
          <w:tab w:val="left" w:pos="4680"/>
          <w:tab w:val="left" w:pos="5880"/>
        </w:tabs>
        <w:spacing w:after="0" w:line="240" w:lineRule="auto"/>
        <w:jc w:val="both"/>
        <w:rPr>
          <w:rFonts w:ascii="Helvetica" w:eastAsia="Times New Roman" w:hAnsi="Helvetica" w:cs="Helvetica"/>
          <w:b/>
          <w:bCs/>
          <w:sz w:val="24"/>
          <w:szCs w:val="24"/>
        </w:rPr>
      </w:pPr>
    </w:p>
    <w:p w:rsidR="00C73890" w:rsidRPr="00C73890" w:rsidRDefault="00C73890" w:rsidP="00C73890">
      <w:pPr>
        <w:tabs>
          <w:tab w:val="decimal" w:pos="438"/>
          <w:tab w:val="left" w:pos="798"/>
          <w:tab w:val="left" w:pos="4680"/>
          <w:tab w:val="left" w:pos="5880"/>
        </w:tabs>
        <w:spacing w:after="0" w:line="240" w:lineRule="auto"/>
        <w:jc w:val="center"/>
        <w:rPr>
          <w:rFonts w:ascii="Helvetica" w:eastAsia="Times New Roman" w:hAnsi="Helvetica" w:cs="Helvetica"/>
          <w:b/>
          <w:bCs/>
          <w:sz w:val="24"/>
          <w:szCs w:val="24"/>
        </w:rPr>
      </w:pPr>
      <w:r w:rsidRPr="00C73890">
        <w:rPr>
          <w:rFonts w:ascii="Helvetica" w:eastAsia="Times New Roman" w:hAnsi="Helvetica" w:cs="Helvetica"/>
          <w:b/>
          <w:bCs/>
          <w:noProof/>
          <w:sz w:val="24"/>
          <w:szCs w:val="24"/>
        </w:rPr>
        <w:drawing>
          <wp:inline distT="0" distB="0" distL="0" distR="0" wp14:anchorId="3FFB14BA" wp14:editId="1E570534">
            <wp:extent cx="6038850" cy="66262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srcRect/>
                    <a:stretch>
                      <a:fillRect/>
                    </a:stretch>
                  </pic:blipFill>
                  <pic:spPr bwMode="auto">
                    <a:xfrm>
                      <a:off x="0" y="0"/>
                      <a:ext cx="6038850" cy="6626225"/>
                    </a:xfrm>
                    <a:prstGeom prst="rect">
                      <a:avLst/>
                    </a:prstGeom>
                    <a:noFill/>
                    <a:ln w="9525">
                      <a:noFill/>
                      <a:miter lim="800000"/>
                      <a:headEnd/>
                      <a:tailEnd/>
                    </a:ln>
                  </pic:spPr>
                </pic:pic>
              </a:graphicData>
            </a:graphic>
          </wp:inline>
        </w:drawing>
      </w:r>
    </w:p>
    <w:p w:rsidR="00C73890" w:rsidRDefault="00C73890" w:rsidP="00C73890"/>
    <w:p w:rsidR="00D352CB" w:rsidRDefault="00D352CB"/>
    <w:sectPr w:rsidR="00D35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890"/>
    <w:rsid w:val="00C73890"/>
    <w:rsid w:val="00D3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3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8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38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8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2012-12-30T20:33:00Z</dcterms:created>
  <dcterms:modified xsi:type="dcterms:W3CDTF">2012-12-30T20:36:00Z</dcterms:modified>
</cp:coreProperties>
</file>