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17B6" w:rsidRDefault="006F17B6" w:rsidP="006F17B6">
      <w:pPr>
        <w:rPr>
          <w:rFonts w:ascii="Arial" w:hAnsi="Arial"/>
          <w:b/>
        </w:rPr>
      </w:pPr>
    </w:p>
    <w:p w:rsidR="006F17B6" w:rsidRPr="006F17B6" w:rsidRDefault="006F17B6" w:rsidP="006F17B6">
      <w:pPr>
        <w:pStyle w:val="Subtitle"/>
        <w:rPr>
          <w:rFonts w:ascii="Helvetica" w:hAnsi="Helvetica"/>
          <w:sz w:val="36"/>
          <w:u w:val="single"/>
        </w:rPr>
      </w:pPr>
      <w:r w:rsidRPr="006F17B6">
        <w:rPr>
          <w:rFonts w:ascii="Helvetica" w:hAnsi="Helvetica"/>
          <w:sz w:val="36"/>
          <w:u w:val="single"/>
        </w:rPr>
        <w:t>Lecture 09</w:t>
      </w:r>
    </w:p>
    <w:p w:rsidR="006F17B6" w:rsidRPr="006F17B6" w:rsidRDefault="006F17B6" w:rsidP="006F17B6">
      <w:pPr>
        <w:pStyle w:val="Subtitle"/>
        <w:rPr>
          <w:rFonts w:ascii="Helvetica" w:hAnsi="Helvetica"/>
          <w:sz w:val="36"/>
          <w:u w:val="single"/>
        </w:rPr>
      </w:pPr>
      <w:r>
        <w:rPr>
          <w:rFonts w:ascii="Helvetica" w:hAnsi="Helvetica"/>
          <w:sz w:val="36"/>
          <w:u w:val="single"/>
        </w:rPr>
        <w:t xml:space="preserve">Practical Issues in </w:t>
      </w:r>
      <w:r w:rsidRPr="006F17B6">
        <w:rPr>
          <w:rFonts w:ascii="Helvetica" w:hAnsi="Helvetica"/>
          <w:sz w:val="36"/>
          <w:u w:val="single"/>
        </w:rPr>
        <w:t>Cash and Receivables</w:t>
      </w:r>
      <w:r>
        <w:rPr>
          <w:rFonts w:ascii="Helvetica" w:hAnsi="Helvetica"/>
          <w:sz w:val="36"/>
          <w:u w:val="single"/>
        </w:rPr>
        <w:t>: Disposition and Recognition</w:t>
      </w:r>
    </w:p>
    <w:p w:rsidR="006F17B6" w:rsidRDefault="006F17B6" w:rsidP="006F17B6">
      <w:pPr>
        <w:rPr>
          <w:rFonts w:ascii="Arial" w:hAnsi="Arial"/>
          <w:b/>
        </w:rPr>
      </w:pPr>
    </w:p>
    <w:p w:rsidR="006F17B6" w:rsidRDefault="006F17B6" w:rsidP="006F17B6">
      <w:pPr>
        <w:spacing w:line="280" w:lineRule="exact"/>
        <w:jc w:val="both"/>
        <w:rPr>
          <w:b/>
          <w:u w:val="single"/>
        </w:rPr>
      </w:pPr>
    </w:p>
    <w:p w:rsidR="006F17B6" w:rsidRDefault="006F17B6" w:rsidP="006F17B6">
      <w:pPr>
        <w:spacing w:line="280" w:lineRule="exact"/>
        <w:jc w:val="both"/>
      </w:pPr>
      <w:r>
        <w:rPr>
          <w:b/>
          <w:u w:val="single"/>
        </w:rPr>
        <w:t>Notes Receivable</w:t>
      </w:r>
    </w:p>
    <w:p w:rsidR="006F17B6" w:rsidRDefault="006F17B6" w:rsidP="006F17B6">
      <w:pPr>
        <w:pStyle w:val="Review"/>
      </w:pPr>
      <w:r>
        <w:tab/>
        <w:t>1.</w:t>
      </w:r>
      <w:r>
        <w:tab/>
      </w:r>
      <w:bookmarkStart w:id="0" w:name="_GoBack"/>
      <w:bookmarkEnd w:id="0"/>
      <w:r>
        <w:t xml:space="preserve">The major differences between trade accounts receivables and </w:t>
      </w:r>
      <w:r>
        <w:rPr>
          <w:b/>
        </w:rPr>
        <w:t xml:space="preserve">trade notes receivables </w:t>
      </w:r>
      <w:r>
        <w:t xml:space="preserve">are (a) notes represent a formal promise to pay and (b) notes bear an interest element because of the time value of money. Notes are classified as notes bearing interest equal to the effective rate and those bearing interest different than the effective rate. </w:t>
      </w:r>
      <w:r>
        <w:rPr>
          <w:b/>
        </w:rPr>
        <w:t xml:space="preserve">Interest-bearing notes </w:t>
      </w:r>
      <w:r>
        <w:t xml:space="preserve">have a stated rate of interest, whereas </w:t>
      </w:r>
      <w:r>
        <w:rPr>
          <w:b/>
        </w:rPr>
        <w:t>zero-interest-bearing notes (noninterest-bearing)</w:t>
      </w:r>
      <w:r>
        <w:t xml:space="preserve"> include the interest as part of their face amount instead of stating it explicitly.</w:t>
      </w:r>
    </w:p>
    <w:p w:rsidR="006F17B6" w:rsidRDefault="006F17B6" w:rsidP="006F17B6">
      <w:pPr>
        <w:pStyle w:val="Review"/>
      </w:pPr>
    </w:p>
    <w:p w:rsidR="006F17B6" w:rsidRDefault="006F17B6" w:rsidP="006F17B6">
      <w:pPr>
        <w:pStyle w:val="Review"/>
      </w:pPr>
      <w:r>
        <w:tab/>
        <w:t>2</w:t>
      </w:r>
      <w:r>
        <w:t>.</w:t>
      </w:r>
      <w:r>
        <w:tab/>
        <w:t xml:space="preserve">Short-term notes are generally recorded at face value (less allowances) because the interest implicit in the maturity value is immaterial. A general rule is that notes treated as cash equivalents (maturities of 3 months or less) are not subject to premium or discount amortization. Long-term notes receivable, however, are recorded at the present value of </w:t>
      </w:r>
      <w:r>
        <w:rPr>
          <w:spacing w:val="-2"/>
        </w:rPr>
        <w:t xml:space="preserve">the future cash inflows. Determination of the present value can be complicated, particularly </w:t>
      </w:r>
      <w:r>
        <w:rPr>
          <w:spacing w:val="-4"/>
        </w:rPr>
        <w:t>when a zero-interest-bearing note or a note bearing an unreasonable interest rate is involved.</w:t>
      </w:r>
    </w:p>
    <w:p w:rsidR="006F17B6" w:rsidRDefault="006F17B6" w:rsidP="006F17B6">
      <w:pPr>
        <w:pStyle w:val="Review"/>
      </w:pPr>
    </w:p>
    <w:p w:rsidR="006F17B6" w:rsidRDefault="006F17B6" w:rsidP="006F17B6">
      <w:pPr>
        <w:pStyle w:val="Review"/>
      </w:pPr>
      <w:r>
        <w:tab/>
        <w:t>3</w:t>
      </w:r>
      <w:r>
        <w:t>.</w:t>
      </w:r>
      <w:r>
        <w:tab/>
        <w:t xml:space="preserve">Long-term notes receivable should be recorded and reported at the present value of the cash expected to be collected. When the interest stated on an interest-bearing note is equal to the effective (market) rate of interest, the note sells at face value. When the stated rate is different from the market rate, the cash exchanged (present value) is different from the face value of the note. The difference between the face value and the cash </w:t>
      </w:r>
      <w:proofErr w:type="gramStart"/>
      <w:r>
        <w:t>exchanged,</w:t>
      </w:r>
      <w:proofErr w:type="gramEnd"/>
      <w:r>
        <w:t xml:space="preserve"> either a </w:t>
      </w:r>
      <w:r>
        <w:rPr>
          <w:b/>
        </w:rPr>
        <w:t xml:space="preserve">discount </w:t>
      </w:r>
      <w:r>
        <w:t xml:space="preserve">or a </w:t>
      </w:r>
      <w:r>
        <w:rPr>
          <w:b/>
        </w:rPr>
        <w:t>premium,</w:t>
      </w:r>
      <w:r>
        <w:t xml:space="preserve"> is then recorded and amortized over the life of the note to approximate the effective interest rate. The discount or premium is shown on the balance sheet as a direct deduction from or addition to the face of the note.</w:t>
      </w:r>
    </w:p>
    <w:p w:rsidR="006F17B6" w:rsidRDefault="006F17B6" w:rsidP="006F17B6">
      <w:pPr>
        <w:pStyle w:val="Review"/>
      </w:pPr>
    </w:p>
    <w:p w:rsidR="006F17B6" w:rsidRDefault="006F17B6" w:rsidP="006F17B6">
      <w:pPr>
        <w:pStyle w:val="Review"/>
        <w:rPr>
          <w:spacing w:val="-2"/>
        </w:rPr>
      </w:pPr>
      <w:r>
        <w:tab/>
        <w:t>4</w:t>
      </w:r>
      <w:r>
        <w:t>.</w:t>
      </w:r>
      <w:r>
        <w:tab/>
      </w:r>
      <w:r>
        <w:rPr>
          <w:spacing w:val="-2"/>
        </w:rPr>
        <w:t xml:space="preserve">Whenever the face amount of a note does not reasonably represent the present value of the consideration given or received in the exchange, the accountant must evaluate the entire arrangement to record properly the exchange and the subsequent interest. Notes receivable are sometimes issued with zero interest rate stated or at a stated rate that is unreasonable. In such instances the present value of the note is measured by the cash proceeds to the borrower or fair value of the property, goods, or services rendered. The difference between the face amount of the note and the cash proceeds </w:t>
      </w:r>
      <w:proofErr w:type="gramStart"/>
      <w:r>
        <w:rPr>
          <w:spacing w:val="-2"/>
        </w:rPr>
        <w:t>or</w:t>
      </w:r>
      <w:proofErr w:type="gramEnd"/>
      <w:r>
        <w:rPr>
          <w:spacing w:val="-2"/>
        </w:rPr>
        <w:t xml:space="preserve"> fair value of the property represents the total amount of interest during the life of the note. If the fair value of the property, goods, or services rendered is not determinable, estimation of the present value requires use of an </w:t>
      </w:r>
      <w:r>
        <w:rPr>
          <w:b/>
          <w:spacing w:val="-2"/>
        </w:rPr>
        <w:t>imputed interest rate.</w:t>
      </w:r>
      <w:r>
        <w:rPr>
          <w:spacing w:val="-2"/>
        </w:rPr>
        <w:t xml:space="preserve"> The choice of a rate may be affected specifically </w:t>
      </w:r>
      <w:r>
        <w:rPr>
          <w:spacing w:val="-2"/>
        </w:rPr>
        <w:lastRenderedPageBreak/>
        <w:t>by the credit standing of the issuer, restrictive covenants, collateral, payment schedule, and the existing prime interest rate. Determination of the imputed interest rate is made when the note is received; any subsequent changes in prevailing interest rates are ignored.</w:t>
      </w:r>
    </w:p>
    <w:p w:rsidR="006F17B6" w:rsidRDefault="006F17B6" w:rsidP="006F17B6">
      <w:pPr>
        <w:spacing w:line="280" w:lineRule="exact"/>
        <w:jc w:val="both"/>
      </w:pPr>
    </w:p>
    <w:p w:rsidR="006F17B6" w:rsidRDefault="006F17B6" w:rsidP="006F17B6">
      <w:pPr>
        <w:pStyle w:val="Review"/>
      </w:pPr>
      <w:r>
        <w:tab/>
        <w:t>5</w:t>
      </w:r>
      <w:r>
        <w:t>.</w:t>
      </w:r>
      <w:r>
        <w:tab/>
        <w:t>The FASB requires that companies disclose the fair value of receivables in the notes to the financial statements. Recently the Board has given companies the option to use fair value as the basis of measurement in the financial statements. If companies choose the fair value option, the receivables are recorded at fair value, with unrealized holding gains or losses reported as part of net income. An unrealized holding gain or loss is the net change in the fair value of the receivable from one period to another, exclusive of interest revenue.</w:t>
      </w:r>
    </w:p>
    <w:p w:rsidR="006F17B6" w:rsidRDefault="006F17B6" w:rsidP="006F17B6">
      <w:pPr>
        <w:spacing w:line="280" w:lineRule="exact"/>
        <w:jc w:val="both"/>
        <w:rPr>
          <w:b/>
          <w:u w:val="single"/>
        </w:rPr>
      </w:pPr>
    </w:p>
    <w:p w:rsidR="006F17B6" w:rsidRDefault="006F17B6" w:rsidP="006F17B6">
      <w:pPr>
        <w:spacing w:line="280" w:lineRule="exact"/>
        <w:jc w:val="both"/>
      </w:pPr>
      <w:r>
        <w:rPr>
          <w:b/>
          <w:u w:val="single"/>
        </w:rPr>
        <w:t>Secured Borrowing</w:t>
      </w:r>
    </w:p>
    <w:p w:rsidR="006F17B6" w:rsidRDefault="006F17B6" w:rsidP="006F17B6">
      <w:pPr>
        <w:pStyle w:val="Review"/>
        <w:tabs>
          <w:tab w:val="clear" w:pos="360"/>
          <w:tab w:val="right" w:pos="423"/>
        </w:tabs>
      </w:pPr>
      <w:r>
        <w:tab/>
        <w:t>6</w:t>
      </w:r>
      <w:r>
        <w:t>.</w:t>
      </w:r>
      <w:r>
        <w:tab/>
        <w:t>Receivables are often used as collateral in a borrowing transaction. A creditor often requires that the debtor designate (assign) or pledge receivables as security for the loan. If the loan is not paid when due, the creditor has the right to convert the collateral to cash, that is, to collect the receivables.</w:t>
      </w:r>
    </w:p>
    <w:p w:rsidR="006F17B6" w:rsidRDefault="006F17B6" w:rsidP="006F17B6">
      <w:pPr>
        <w:pStyle w:val="WPDefault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s>
        <w:spacing w:line="240" w:lineRule="exact"/>
        <w:rPr>
          <w:rFonts w:ascii="Helvetica" w:hAnsi="Helvetica"/>
        </w:rPr>
      </w:pPr>
    </w:p>
    <w:p w:rsidR="006F17B6" w:rsidRDefault="006F17B6" w:rsidP="006F17B6">
      <w:pPr>
        <w:spacing w:line="280" w:lineRule="exact"/>
        <w:jc w:val="both"/>
      </w:pPr>
      <w:r>
        <w:rPr>
          <w:b/>
          <w:u w:val="single"/>
        </w:rPr>
        <w:t>Sales of Receivables</w:t>
      </w:r>
    </w:p>
    <w:p w:rsidR="006F17B6" w:rsidRDefault="006F17B6" w:rsidP="006F17B6">
      <w:pPr>
        <w:pStyle w:val="Review"/>
        <w:tabs>
          <w:tab w:val="clear" w:pos="360"/>
          <w:tab w:val="right" w:pos="423"/>
        </w:tabs>
      </w:pPr>
      <w:r>
        <w:tab/>
        <w:t>7</w:t>
      </w:r>
      <w:r>
        <w:t>.</w:t>
      </w:r>
      <w:r>
        <w:tab/>
        <w:t xml:space="preserve">When accounts and notes receivable are factored (sold), the factoring arrangement can be </w:t>
      </w:r>
      <w:r>
        <w:rPr>
          <w:b/>
        </w:rPr>
        <w:t xml:space="preserve">with recourse </w:t>
      </w:r>
      <w:r>
        <w:t xml:space="preserve">or </w:t>
      </w:r>
      <w:r>
        <w:rPr>
          <w:b/>
        </w:rPr>
        <w:t>without recourse.</w:t>
      </w:r>
      <w:r>
        <w:t xml:space="preserve"> If receivables are factored on a with recourse basis, the seller guarantees payment to the factor in the event the debtor does not make payment. When a factor buys receivables without recourse, the factor assumes the risk of </w:t>
      </w:r>
      <w:proofErr w:type="spellStart"/>
      <w:r>
        <w:t>collectibility</w:t>
      </w:r>
      <w:proofErr w:type="spellEnd"/>
      <w:r>
        <w:t xml:space="preserve"> and absorbs any credit losses. Receivables that are factored with recourse </w:t>
      </w:r>
      <w:r>
        <w:rPr>
          <w:spacing w:val="-2"/>
        </w:rPr>
        <w:t xml:space="preserve">should be accounted for as a sale, recognizing any gain or loss, if all three of the following </w:t>
      </w:r>
      <w:r>
        <w:t xml:space="preserve">conditions are met: (a) the transferred asset has been isolated from the transferor, (b) the transferees have obtained the right to pledge or exchange either the transferred assets or beneficial interests in the transferred assets, and (c) the transferor does not maintain </w:t>
      </w:r>
      <w:r>
        <w:rPr>
          <w:spacing w:val="-3"/>
        </w:rPr>
        <w:t xml:space="preserve">effective control over the transferred assets through an agreement to repurchase or redeem </w:t>
      </w:r>
      <w:r>
        <w:t>them before their maturity.</w:t>
      </w:r>
    </w:p>
    <w:p w:rsidR="006F17B6" w:rsidRDefault="006F17B6" w:rsidP="006F17B6">
      <w:pPr>
        <w:pStyle w:val="WPDefault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s>
        <w:spacing w:line="240" w:lineRule="exact"/>
        <w:rPr>
          <w:rFonts w:ascii="Helvetica" w:hAnsi="Helvetica"/>
        </w:rPr>
      </w:pPr>
    </w:p>
    <w:p w:rsidR="006F17B6" w:rsidRDefault="006F17B6" w:rsidP="006F17B6">
      <w:pPr>
        <w:spacing w:line="280" w:lineRule="exact"/>
        <w:jc w:val="both"/>
      </w:pPr>
      <w:r>
        <w:rPr>
          <w:b/>
          <w:u w:val="single"/>
        </w:rPr>
        <w:t>Presentation and Analysis</w:t>
      </w:r>
    </w:p>
    <w:p w:rsidR="006F17B6" w:rsidRDefault="006F17B6" w:rsidP="006F17B6">
      <w:pPr>
        <w:pStyle w:val="Review"/>
        <w:tabs>
          <w:tab w:val="clear" w:pos="360"/>
          <w:tab w:val="right" w:pos="423"/>
        </w:tabs>
      </w:pPr>
      <w:r>
        <w:tab/>
        <w:t>8</w:t>
      </w:r>
      <w:r>
        <w:t>.</w:t>
      </w:r>
      <w:r>
        <w:tab/>
        <w:t xml:space="preserve">The presentation of receivables in the balance sheet includes the following </w:t>
      </w:r>
      <w:r>
        <w:rPr>
          <w:spacing w:val="-2"/>
        </w:rPr>
        <w:t>considerations: (a) segregate the different types of receivables that a company possesses</w:t>
      </w:r>
      <w:r>
        <w:t xml:space="preserve">, if </w:t>
      </w:r>
      <w:r>
        <w:rPr>
          <w:spacing w:val="-2"/>
        </w:rPr>
        <w:t xml:space="preserve">material; (b) appropriately offset the valuation accounts against the proper </w:t>
      </w:r>
      <w:r>
        <w:t xml:space="preserve">receivable accounts: (c) determine that receivables classified in the current assets section will be </w:t>
      </w:r>
      <w:r>
        <w:rPr>
          <w:spacing w:val="-2"/>
        </w:rPr>
        <w:t>converted into cash within the year or the operating cycle, whichever is longer; (d) disclose</w:t>
      </w:r>
      <w:r>
        <w:rPr>
          <w:spacing w:val="-5"/>
        </w:rPr>
        <w:t xml:space="preserve"> any loss contingencies that exist on the receivables; (e) disclose any receivables </w:t>
      </w:r>
      <w:r>
        <w:t>designated or pledged as collateral; and (f) disclose the nature of credit risk inherent in the receivables, how that risk is analyzed and assessed in arriving at the allowance for credit losses, and the changes and reasons for those changes in the allowance for credit losses.</w:t>
      </w:r>
    </w:p>
    <w:p w:rsidR="006F17B6" w:rsidRDefault="006F17B6" w:rsidP="006F17B6">
      <w:pPr>
        <w:pStyle w:val="Review"/>
        <w:spacing w:line="240" w:lineRule="exact"/>
        <w:ind w:left="0" w:firstLine="0"/>
      </w:pPr>
    </w:p>
    <w:p w:rsidR="006F17B6" w:rsidRDefault="006F17B6" w:rsidP="006F17B6">
      <w:pPr>
        <w:pStyle w:val="Review"/>
        <w:tabs>
          <w:tab w:val="clear" w:pos="360"/>
          <w:tab w:val="right" w:pos="423"/>
        </w:tabs>
      </w:pPr>
      <w:r>
        <w:lastRenderedPageBreak/>
        <w:tab/>
        <w:t>9</w:t>
      </w:r>
      <w:r>
        <w:t>.</w:t>
      </w:r>
      <w:r>
        <w:tab/>
      </w:r>
      <w:r>
        <w:rPr>
          <w:spacing w:val="-2"/>
        </w:rPr>
        <w:t xml:space="preserve">The ratio used to assess the liquidity of receivables is the receivables turnover ratio, which </w:t>
      </w:r>
      <w:r>
        <w:t xml:space="preserve">measures the </w:t>
      </w:r>
      <w:proofErr w:type="gramStart"/>
      <w:r>
        <w:t>number of times, on average, receivables are</w:t>
      </w:r>
      <w:proofErr w:type="gramEnd"/>
      <w:r>
        <w:t xml:space="preserve"> collected during the period.</w:t>
      </w:r>
    </w:p>
    <w:p w:rsidR="006F17B6" w:rsidRDefault="006F17B6" w:rsidP="006F17B6">
      <w:pPr>
        <w:pStyle w:val="WPDefault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s>
        <w:spacing w:line="240" w:lineRule="exact"/>
        <w:rPr>
          <w:rFonts w:ascii="Helvetica" w:hAnsi="Helvetica"/>
        </w:rPr>
      </w:pPr>
    </w:p>
    <w:tbl>
      <w:tblPr>
        <w:tblW w:w="0" w:type="auto"/>
        <w:tblInd w:w="1188" w:type="dxa"/>
        <w:tblLook w:val="0000" w:firstRow="0" w:lastRow="0" w:firstColumn="0" w:lastColumn="0" w:noHBand="0" w:noVBand="0"/>
      </w:tblPr>
      <w:tblGrid>
        <w:gridCol w:w="2514"/>
        <w:gridCol w:w="236"/>
        <w:gridCol w:w="252"/>
        <w:gridCol w:w="238"/>
        <w:gridCol w:w="3897"/>
      </w:tblGrid>
      <w:tr w:rsidR="006F17B6" w:rsidTr="00501F12">
        <w:tblPrEx>
          <w:tblCellMar>
            <w:top w:w="0" w:type="dxa"/>
            <w:bottom w:w="0" w:type="dxa"/>
          </w:tblCellMar>
        </w:tblPrEx>
        <w:trPr>
          <w:cantSplit/>
        </w:trPr>
        <w:tc>
          <w:tcPr>
            <w:tcW w:w="2514" w:type="dxa"/>
            <w:vMerge w:val="restart"/>
          </w:tcPr>
          <w:p w:rsidR="006F17B6" w:rsidRDefault="006F17B6" w:rsidP="00501F12">
            <w:pPr>
              <w:pStyle w:val="WPDefault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s>
              <w:spacing w:line="280" w:lineRule="exact"/>
              <w:ind w:left="-99" w:right="-105" w:firstLine="99"/>
              <w:jc w:val="center"/>
              <w:rPr>
                <w:rFonts w:ascii="Helvetica" w:hAnsi="Helvetica"/>
              </w:rPr>
            </w:pPr>
            <w:r>
              <w:rPr>
                <w:rFonts w:ascii="Helvetica" w:hAnsi="Helvetica"/>
              </w:rPr>
              <w:t>Accounts Receivable</w:t>
            </w:r>
          </w:p>
          <w:p w:rsidR="006F17B6" w:rsidRDefault="006F17B6" w:rsidP="00501F12">
            <w:pPr>
              <w:spacing w:line="280" w:lineRule="exact"/>
              <w:ind w:left="-99" w:right="-105" w:firstLine="99"/>
              <w:jc w:val="center"/>
            </w:pPr>
            <w:r>
              <w:t>Turnover</w:t>
            </w:r>
          </w:p>
        </w:tc>
        <w:tc>
          <w:tcPr>
            <w:tcW w:w="236" w:type="dxa"/>
          </w:tcPr>
          <w:p w:rsidR="006F17B6" w:rsidRDefault="006F17B6" w:rsidP="00501F12">
            <w:pPr>
              <w:pStyle w:val="WPDefault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s>
              <w:spacing w:line="280" w:lineRule="exact"/>
              <w:ind w:left="-99" w:right="-105" w:firstLine="99"/>
              <w:jc w:val="center"/>
              <w:rPr>
                <w:rFonts w:ascii="Helvetica" w:hAnsi="Helvetica"/>
              </w:rPr>
            </w:pPr>
          </w:p>
        </w:tc>
        <w:tc>
          <w:tcPr>
            <w:tcW w:w="252" w:type="dxa"/>
            <w:vMerge w:val="restart"/>
            <w:vAlign w:val="center"/>
          </w:tcPr>
          <w:p w:rsidR="006F17B6" w:rsidRDefault="006F17B6" w:rsidP="00501F12">
            <w:pPr>
              <w:spacing w:line="280" w:lineRule="exact"/>
              <w:ind w:left="-99" w:right="-105" w:firstLine="4"/>
              <w:jc w:val="center"/>
            </w:pPr>
            <w:r>
              <w:t>=</w:t>
            </w:r>
          </w:p>
        </w:tc>
        <w:tc>
          <w:tcPr>
            <w:tcW w:w="238" w:type="dxa"/>
          </w:tcPr>
          <w:p w:rsidR="006F17B6" w:rsidRDefault="006F17B6" w:rsidP="00501F12">
            <w:pPr>
              <w:spacing w:line="280" w:lineRule="exact"/>
              <w:ind w:left="-99" w:right="-105" w:firstLine="99"/>
              <w:jc w:val="center"/>
            </w:pPr>
          </w:p>
        </w:tc>
        <w:tc>
          <w:tcPr>
            <w:tcW w:w="3897" w:type="dxa"/>
            <w:vMerge w:val="restart"/>
          </w:tcPr>
          <w:p w:rsidR="006F17B6" w:rsidRDefault="006F17B6" w:rsidP="00501F12">
            <w:pPr>
              <w:spacing w:line="280" w:lineRule="exact"/>
              <w:ind w:left="-18" w:right="-108" w:hanging="9"/>
              <w:jc w:val="center"/>
            </w:pPr>
            <w:r>
              <w:rPr>
                <w:u w:val="single"/>
              </w:rPr>
              <w:t>                   Net Sales                  </w:t>
            </w:r>
          </w:p>
          <w:p w:rsidR="006F17B6" w:rsidRDefault="006F17B6" w:rsidP="00501F12">
            <w:pPr>
              <w:spacing w:line="280" w:lineRule="exact"/>
              <w:ind w:left="-99" w:right="-105" w:firstLine="99"/>
              <w:jc w:val="center"/>
            </w:pPr>
            <w:r>
              <w:t>Average Trade Receivables (net)</w:t>
            </w:r>
          </w:p>
        </w:tc>
      </w:tr>
      <w:tr w:rsidR="006F17B6" w:rsidTr="00501F12">
        <w:tblPrEx>
          <w:tblCellMar>
            <w:top w:w="0" w:type="dxa"/>
            <w:bottom w:w="0" w:type="dxa"/>
          </w:tblCellMar>
        </w:tblPrEx>
        <w:trPr>
          <w:cantSplit/>
        </w:trPr>
        <w:tc>
          <w:tcPr>
            <w:tcW w:w="2514" w:type="dxa"/>
            <w:vMerge/>
          </w:tcPr>
          <w:p w:rsidR="006F17B6" w:rsidRDefault="006F17B6" w:rsidP="00501F12">
            <w:pPr>
              <w:spacing w:line="280" w:lineRule="exact"/>
              <w:ind w:left="-99" w:right="-105" w:firstLine="99"/>
              <w:jc w:val="center"/>
            </w:pPr>
          </w:p>
        </w:tc>
        <w:tc>
          <w:tcPr>
            <w:tcW w:w="236" w:type="dxa"/>
          </w:tcPr>
          <w:p w:rsidR="006F17B6" w:rsidRDefault="006F17B6" w:rsidP="00501F12">
            <w:pPr>
              <w:spacing w:line="280" w:lineRule="exact"/>
              <w:ind w:left="-99" w:right="-105" w:firstLine="99"/>
              <w:jc w:val="center"/>
            </w:pPr>
          </w:p>
        </w:tc>
        <w:tc>
          <w:tcPr>
            <w:tcW w:w="252" w:type="dxa"/>
            <w:vMerge/>
            <w:vAlign w:val="center"/>
          </w:tcPr>
          <w:p w:rsidR="006F17B6" w:rsidRDefault="006F17B6" w:rsidP="00501F12">
            <w:pPr>
              <w:spacing w:line="280" w:lineRule="exact"/>
              <w:ind w:left="-99" w:right="-105" w:firstLine="4"/>
              <w:jc w:val="center"/>
            </w:pPr>
          </w:p>
        </w:tc>
        <w:tc>
          <w:tcPr>
            <w:tcW w:w="238" w:type="dxa"/>
          </w:tcPr>
          <w:p w:rsidR="006F17B6" w:rsidRDefault="006F17B6" w:rsidP="00501F12">
            <w:pPr>
              <w:spacing w:line="280" w:lineRule="exact"/>
              <w:ind w:left="-99" w:right="-105" w:firstLine="99"/>
              <w:jc w:val="center"/>
            </w:pPr>
          </w:p>
        </w:tc>
        <w:tc>
          <w:tcPr>
            <w:tcW w:w="3897" w:type="dxa"/>
            <w:vMerge/>
          </w:tcPr>
          <w:p w:rsidR="006F17B6" w:rsidRDefault="006F17B6" w:rsidP="00501F12">
            <w:pPr>
              <w:spacing w:line="280" w:lineRule="exact"/>
              <w:ind w:left="-99" w:right="-105" w:firstLine="99"/>
              <w:jc w:val="center"/>
            </w:pPr>
          </w:p>
        </w:tc>
      </w:tr>
      <w:tr w:rsidR="006F17B6" w:rsidTr="00501F12">
        <w:tblPrEx>
          <w:tblCellMar>
            <w:top w:w="0" w:type="dxa"/>
            <w:bottom w:w="0" w:type="dxa"/>
          </w:tblCellMar>
        </w:tblPrEx>
        <w:trPr>
          <w:cantSplit/>
        </w:trPr>
        <w:tc>
          <w:tcPr>
            <w:tcW w:w="2514" w:type="dxa"/>
          </w:tcPr>
          <w:p w:rsidR="006F17B6" w:rsidRDefault="006F17B6" w:rsidP="00501F12">
            <w:pPr>
              <w:spacing w:line="180" w:lineRule="exact"/>
              <w:ind w:left="-101" w:right="-101" w:firstLine="99"/>
              <w:jc w:val="center"/>
            </w:pPr>
          </w:p>
        </w:tc>
        <w:tc>
          <w:tcPr>
            <w:tcW w:w="236" w:type="dxa"/>
          </w:tcPr>
          <w:p w:rsidR="006F17B6" w:rsidRDefault="006F17B6" w:rsidP="00501F12">
            <w:pPr>
              <w:spacing w:line="180" w:lineRule="exact"/>
              <w:ind w:left="-101" w:right="-101" w:firstLine="99"/>
              <w:jc w:val="center"/>
            </w:pPr>
          </w:p>
        </w:tc>
        <w:tc>
          <w:tcPr>
            <w:tcW w:w="252" w:type="dxa"/>
            <w:vAlign w:val="center"/>
          </w:tcPr>
          <w:p w:rsidR="006F17B6" w:rsidRDefault="006F17B6" w:rsidP="00501F12">
            <w:pPr>
              <w:spacing w:line="180" w:lineRule="exact"/>
              <w:ind w:left="-101" w:right="-101" w:firstLine="4"/>
              <w:jc w:val="center"/>
            </w:pPr>
          </w:p>
        </w:tc>
        <w:tc>
          <w:tcPr>
            <w:tcW w:w="238" w:type="dxa"/>
          </w:tcPr>
          <w:p w:rsidR="006F17B6" w:rsidRDefault="006F17B6" w:rsidP="00501F12">
            <w:pPr>
              <w:spacing w:line="180" w:lineRule="exact"/>
              <w:ind w:left="-101" w:right="-101" w:firstLine="99"/>
              <w:jc w:val="center"/>
            </w:pPr>
          </w:p>
        </w:tc>
        <w:tc>
          <w:tcPr>
            <w:tcW w:w="3897" w:type="dxa"/>
          </w:tcPr>
          <w:p w:rsidR="006F17B6" w:rsidRDefault="006F17B6" w:rsidP="00501F12">
            <w:pPr>
              <w:spacing w:line="180" w:lineRule="exact"/>
              <w:ind w:left="-101" w:right="-101" w:firstLine="99"/>
              <w:jc w:val="center"/>
            </w:pPr>
          </w:p>
        </w:tc>
      </w:tr>
      <w:tr w:rsidR="006F17B6" w:rsidTr="00501F12">
        <w:tblPrEx>
          <w:tblCellMar>
            <w:top w:w="0" w:type="dxa"/>
            <w:bottom w:w="0" w:type="dxa"/>
          </w:tblCellMar>
        </w:tblPrEx>
        <w:trPr>
          <w:cantSplit/>
        </w:trPr>
        <w:tc>
          <w:tcPr>
            <w:tcW w:w="2514" w:type="dxa"/>
            <w:vMerge w:val="restart"/>
          </w:tcPr>
          <w:p w:rsidR="006F17B6" w:rsidRDefault="006F17B6" w:rsidP="00501F12">
            <w:pPr>
              <w:spacing w:line="280" w:lineRule="exact"/>
              <w:ind w:left="-99" w:right="-105" w:firstLine="99"/>
              <w:jc w:val="center"/>
            </w:pPr>
            <w:r>
              <w:t>Days to Collect</w:t>
            </w:r>
          </w:p>
          <w:p w:rsidR="006F17B6" w:rsidRDefault="006F17B6" w:rsidP="00501F12">
            <w:pPr>
              <w:spacing w:line="280" w:lineRule="exact"/>
              <w:ind w:left="-99" w:right="-105" w:firstLine="99"/>
              <w:jc w:val="center"/>
            </w:pPr>
            <w:r>
              <w:t>Accounts Receivable</w:t>
            </w:r>
          </w:p>
        </w:tc>
        <w:tc>
          <w:tcPr>
            <w:tcW w:w="236" w:type="dxa"/>
          </w:tcPr>
          <w:p w:rsidR="006F17B6" w:rsidRDefault="006F17B6" w:rsidP="00501F12">
            <w:pPr>
              <w:spacing w:line="280" w:lineRule="exact"/>
              <w:ind w:left="-99" w:right="-105" w:firstLine="99"/>
              <w:jc w:val="center"/>
            </w:pPr>
          </w:p>
        </w:tc>
        <w:tc>
          <w:tcPr>
            <w:tcW w:w="252" w:type="dxa"/>
            <w:vMerge w:val="restart"/>
            <w:vAlign w:val="center"/>
          </w:tcPr>
          <w:p w:rsidR="006F17B6" w:rsidRDefault="006F17B6" w:rsidP="00501F12">
            <w:pPr>
              <w:spacing w:line="280" w:lineRule="exact"/>
              <w:ind w:left="-99" w:right="-105" w:firstLine="4"/>
              <w:jc w:val="center"/>
            </w:pPr>
            <w:r>
              <w:t>=</w:t>
            </w:r>
          </w:p>
        </w:tc>
        <w:tc>
          <w:tcPr>
            <w:tcW w:w="238" w:type="dxa"/>
          </w:tcPr>
          <w:p w:rsidR="006F17B6" w:rsidRDefault="006F17B6" w:rsidP="00501F12">
            <w:pPr>
              <w:spacing w:line="280" w:lineRule="exact"/>
              <w:ind w:left="-99" w:right="-105" w:firstLine="99"/>
              <w:jc w:val="center"/>
            </w:pPr>
          </w:p>
        </w:tc>
        <w:tc>
          <w:tcPr>
            <w:tcW w:w="3897" w:type="dxa"/>
            <w:vMerge w:val="restart"/>
          </w:tcPr>
          <w:p w:rsidR="006F17B6" w:rsidRDefault="006F17B6" w:rsidP="00501F12">
            <w:pPr>
              <w:spacing w:line="280" w:lineRule="exact"/>
              <w:ind w:left="-99" w:right="-105" w:firstLine="99"/>
              <w:jc w:val="center"/>
              <w:rPr>
                <w:u w:val="single"/>
              </w:rPr>
            </w:pPr>
            <w:r>
              <w:rPr>
                <w:u w:val="single"/>
              </w:rPr>
              <w:t>                     365                      </w:t>
            </w:r>
          </w:p>
          <w:p w:rsidR="006F17B6" w:rsidRDefault="006F17B6" w:rsidP="00501F12">
            <w:pPr>
              <w:spacing w:line="280" w:lineRule="exact"/>
              <w:ind w:left="-99" w:right="-105" w:firstLine="99"/>
              <w:jc w:val="center"/>
            </w:pPr>
            <w:r>
              <w:t>Accounts Receivable Turnover</w:t>
            </w:r>
          </w:p>
        </w:tc>
      </w:tr>
      <w:tr w:rsidR="006F17B6" w:rsidTr="00501F12">
        <w:tblPrEx>
          <w:tblCellMar>
            <w:top w:w="0" w:type="dxa"/>
            <w:bottom w:w="0" w:type="dxa"/>
          </w:tblCellMar>
        </w:tblPrEx>
        <w:trPr>
          <w:cantSplit/>
        </w:trPr>
        <w:tc>
          <w:tcPr>
            <w:tcW w:w="2514" w:type="dxa"/>
            <w:vMerge/>
          </w:tcPr>
          <w:p w:rsidR="006F17B6" w:rsidRDefault="006F17B6" w:rsidP="00501F12">
            <w:pPr>
              <w:spacing w:line="280" w:lineRule="exact"/>
              <w:ind w:left="-99" w:right="-105" w:firstLine="99"/>
              <w:jc w:val="center"/>
            </w:pPr>
          </w:p>
        </w:tc>
        <w:tc>
          <w:tcPr>
            <w:tcW w:w="236" w:type="dxa"/>
          </w:tcPr>
          <w:p w:rsidR="006F17B6" w:rsidRDefault="006F17B6" w:rsidP="00501F12">
            <w:pPr>
              <w:spacing w:line="280" w:lineRule="exact"/>
              <w:ind w:left="-99" w:right="-105" w:firstLine="99"/>
              <w:jc w:val="center"/>
            </w:pPr>
          </w:p>
        </w:tc>
        <w:tc>
          <w:tcPr>
            <w:tcW w:w="252" w:type="dxa"/>
            <w:vMerge/>
          </w:tcPr>
          <w:p w:rsidR="006F17B6" w:rsidRDefault="006F17B6" w:rsidP="00501F12">
            <w:pPr>
              <w:spacing w:line="280" w:lineRule="exact"/>
              <w:ind w:left="-99" w:right="-105" w:firstLine="99"/>
              <w:jc w:val="center"/>
            </w:pPr>
          </w:p>
        </w:tc>
        <w:tc>
          <w:tcPr>
            <w:tcW w:w="238" w:type="dxa"/>
          </w:tcPr>
          <w:p w:rsidR="006F17B6" w:rsidRDefault="006F17B6" w:rsidP="00501F12">
            <w:pPr>
              <w:spacing w:line="280" w:lineRule="exact"/>
              <w:ind w:left="-99" w:right="-105" w:firstLine="99"/>
              <w:jc w:val="center"/>
            </w:pPr>
          </w:p>
        </w:tc>
        <w:tc>
          <w:tcPr>
            <w:tcW w:w="3897" w:type="dxa"/>
            <w:vMerge/>
          </w:tcPr>
          <w:p w:rsidR="006F17B6" w:rsidRDefault="006F17B6" w:rsidP="00501F12">
            <w:pPr>
              <w:spacing w:line="280" w:lineRule="exact"/>
              <w:ind w:left="-99" w:right="-105" w:firstLine="99"/>
              <w:jc w:val="center"/>
            </w:pPr>
          </w:p>
        </w:tc>
      </w:tr>
    </w:tbl>
    <w:p w:rsidR="006F17B6" w:rsidRDefault="006F17B6" w:rsidP="006F17B6">
      <w:pPr>
        <w:pStyle w:val="WPDefault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s>
        <w:spacing w:line="240" w:lineRule="exact"/>
        <w:rPr>
          <w:rFonts w:ascii="Helvetica" w:hAnsi="Helvetica"/>
        </w:rPr>
      </w:pPr>
    </w:p>
    <w:p w:rsidR="006F17B6" w:rsidRDefault="006F17B6" w:rsidP="006F17B6">
      <w:pPr>
        <w:spacing w:line="280" w:lineRule="exact"/>
        <w:jc w:val="both"/>
      </w:pPr>
      <w:r>
        <w:rPr>
          <w:b/>
          <w:u w:val="single"/>
        </w:rPr>
        <w:t>Bank Reconciliation</w:t>
      </w:r>
    </w:p>
    <w:p w:rsidR="006F17B6" w:rsidRDefault="006F17B6" w:rsidP="006F17B6">
      <w:pPr>
        <w:pStyle w:val="Review"/>
      </w:pPr>
      <w:r>
        <w:tab/>
        <w:t>10</w:t>
      </w:r>
      <w:r>
        <w:t>.</w:t>
      </w:r>
      <w:r>
        <w:tab/>
      </w:r>
      <w:r>
        <w:rPr>
          <w:spacing w:val="-3"/>
        </w:rPr>
        <w:t xml:space="preserve">A basic cash control is preparation of </w:t>
      </w:r>
      <w:proofErr w:type="gramStart"/>
      <w:r>
        <w:rPr>
          <w:spacing w:val="-3"/>
        </w:rPr>
        <w:t>a monthly</w:t>
      </w:r>
      <w:proofErr w:type="gramEnd"/>
      <w:r>
        <w:rPr>
          <w:spacing w:val="-3"/>
        </w:rPr>
        <w:t xml:space="preserve"> bank reconciliation. The bank reconciliation</w:t>
      </w:r>
      <w:r>
        <w:t xml:space="preserve">, when properly prepared, proves that the cash balance per bank and the cash balance per book are in agreement. The items that cause the bank and book balances to differ, and thus require preparation of </w:t>
      </w:r>
      <w:proofErr w:type="gramStart"/>
      <w:r>
        <w:t>a bank</w:t>
      </w:r>
      <w:proofErr w:type="gramEnd"/>
      <w:r>
        <w:t xml:space="preserve"> reconciliation, are the following:</w:t>
      </w:r>
    </w:p>
    <w:p w:rsidR="006F17B6" w:rsidRDefault="006F17B6" w:rsidP="006F17B6">
      <w:pPr>
        <w:pStyle w:val="Review2"/>
        <w:overflowPunct/>
        <w:autoSpaceDE/>
        <w:autoSpaceDN/>
        <w:adjustRightInd/>
        <w:spacing w:line="240" w:lineRule="exact"/>
        <w:ind w:left="0" w:firstLine="0"/>
      </w:pPr>
    </w:p>
    <w:p w:rsidR="006F17B6" w:rsidRDefault="006F17B6" w:rsidP="006F17B6">
      <w:pPr>
        <w:pStyle w:val="Review2"/>
      </w:pPr>
      <w:r>
        <w:tab/>
        <w:t>a.</w:t>
      </w:r>
      <w:r>
        <w:tab/>
      </w:r>
      <w:r>
        <w:rPr>
          <w:b/>
        </w:rPr>
        <w:t>Deposits in Transit.</w:t>
      </w:r>
      <w:r>
        <w:t> </w:t>
      </w:r>
      <w:r>
        <w:t>Deposits recorded in the cash account in one period but not received by the bank until the next period.</w:t>
      </w:r>
    </w:p>
    <w:p w:rsidR="006F17B6" w:rsidRDefault="006F17B6" w:rsidP="006F17B6">
      <w:pPr>
        <w:pStyle w:val="Review2"/>
        <w:overflowPunct/>
        <w:autoSpaceDE/>
        <w:autoSpaceDN/>
        <w:adjustRightInd/>
        <w:spacing w:line="240" w:lineRule="exact"/>
        <w:ind w:left="0" w:firstLine="0"/>
      </w:pPr>
    </w:p>
    <w:p w:rsidR="006F17B6" w:rsidRDefault="006F17B6" w:rsidP="006F17B6">
      <w:pPr>
        <w:pStyle w:val="Review2"/>
      </w:pPr>
      <w:r>
        <w:tab/>
        <w:t>b.</w:t>
      </w:r>
      <w:r>
        <w:tab/>
      </w:r>
      <w:r>
        <w:rPr>
          <w:b/>
        </w:rPr>
        <w:t>Outstanding Checks.</w:t>
      </w:r>
      <w:r>
        <w:t> </w:t>
      </w:r>
      <w:r>
        <w:t xml:space="preserve">Checks written by the depositor </w:t>
      </w:r>
      <w:proofErr w:type="gramStart"/>
      <w:r>
        <w:t>that have</w:t>
      </w:r>
      <w:proofErr w:type="gramEnd"/>
      <w:r>
        <w:t xml:space="preserve"> yet to be presented at the bank for collection.</w:t>
      </w:r>
    </w:p>
    <w:p w:rsidR="006F17B6" w:rsidRDefault="006F17B6" w:rsidP="006F17B6">
      <w:pPr>
        <w:pStyle w:val="Review2"/>
        <w:overflowPunct/>
        <w:autoSpaceDE/>
        <w:autoSpaceDN/>
        <w:adjustRightInd/>
        <w:spacing w:line="240" w:lineRule="exact"/>
        <w:ind w:left="0" w:firstLine="0"/>
      </w:pPr>
    </w:p>
    <w:p w:rsidR="006F17B6" w:rsidRDefault="006F17B6" w:rsidP="006F17B6">
      <w:pPr>
        <w:pStyle w:val="Review2"/>
      </w:pPr>
      <w:r>
        <w:tab/>
        <w:t>c.</w:t>
      </w:r>
      <w:r>
        <w:tab/>
      </w:r>
      <w:r>
        <w:rPr>
          <w:b/>
        </w:rPr>
        <w:t>Bank Charges.</w:t>
      </w:r>
      <w:r>
        <w:t> </w:t>
      </w:r>
      <w:proofErr w:type="gramStart"/>
      <w:r>
        <w:t>Charges by the bank for services that are deducted from the account by the bank and which the company learns of when it receives the bank statement.</w:t>
      </w:r>
      <w:proofErr w:type="gramEnd"/>
    </w:p>
    <w:p w:rsidR="006F17B6" w:rsidRDefault="006F17B6" w:rsidP="006F17B6">
      <w:pPr>
        <w:pStyle w:val="Review2"/>
        <w:overflowPunct/>
        <w:autoSpaceDE/>
        <w:autoSpaceDN/>
        <w:adjustRightInd/>
        <w:spacing w:line="240" w:lineRule="exact"/>
        <w:ind w:left="0" w:firstLine="0"/>
      </w:pPr>
    </w:p>
    <w:p w:rsidR="006F17B6" w:rsidRDefault="006F17B6" w:rsidP="006F17B6">
      <w:pPr>
        <w:pStyle w:val="Review2"/>
      </w:pPr>
      <w:r>
        <w:tab/>
        <w:t>d.</w:t>
      </w:r>
      <w:r>
        <w:tab/>
      </w:r>
      <w:r>
        <w:rPr>
          <w:b/>
        </w:rPr>
        <w:t>Bank Credits.</w:t>
      </w:r>
      <w:r>
        <w:t> </w:t>
      </w:r>
      <w:proofErr w:type="gramStart"/>
      <w:r>
        <w:t>Collections or deposits in the company’s account that the company is not aware of until receipt of the bank statement.</w:t>
      </w:r>
      <w:proofErr w:type="gramEnd"/>
    </w:p>
    <w:p w:rsidR="006F17B6" w:rsidRDefault="006F17B6" w:rsidP="006F17B6">
      <w:pPr>
        <w:pStyle w:val="Review2"/>
        <w:overflowPunct/>
        <w:autoSpaceDE/>
        <w:autoSpaceDN/>
        <w:adjustRightInd/>
        <w:spacing w:line="240" w:lineRule="exact"/>
        <w:ind w:left="0" w:firstLine="0"/>
      </w:pPr>
    </w:p>
    <w:p w:rsidR="006F17B6" w:rsidRDefault="006F17B6" w:rsidP="006F17B6">
      <w:pPr>
        <w:pStyle w:val="Review2"/>
      </w:pPr>
      <w:r>
        <w:tab/>
        <w:t>e.</w:t>
      </w:r>
      <w:r>
        <w:tab/>
      </w:r>
      <w:r>
        <w:rPr>
          <w:b/>
        </w:rPr>
        <w:t>Bank or Depositor Errors.</w:t>
      </w:r>
      <w:r>
        <w:t> </w:t>
      </w:r>
      <w:r>
        <w:t>Errors made by the company or the bank that must be corrected for the reconciliation to balance.</w:t>
      </w:r>
    </w:p>
    <w:p w:rsidR="006F17B6" w:rsidRDefault="006F17B6" w:rsidP="006F17B6">
      <w:pPr>
        <w:pStyle w:val="Review"/>
        <w:tabs>
          <w:tab w:val="clear" w:pos="360"/>
          <w:tab w:val="clear" w:pos="540"/>
        </w:tabs>
        <w:spacing w:line="240" w:lineRule="exact"/>
        <w:ind w:left="0" w:firstLine="0"/>
      </w:pPr>
    </w:p>
    <w:p w:rsidR="00F23354" w:rsidRDefault="006F17B6" w:rsidP="006F17B6">
      <w:r>
        <w:tab/>
      </w:r>
      <w:r>
        <w:tab/>
        <w:t xml:space="preserve">Two forms of bank reconciliation may be prepared. One form reconciles from the bank statement balance to the book balance or vice versa. The other form is described as </w:t>
      </w:r>
      <w:r>
        <w:rPr>
          <w:b/>
        </w:rPr>
        <w:t>the reconciliation of bank and book balances to corrected cash balance.</w:t>
      </w:r>
      <w:r>
        <w:t xml:space="preserve"> This form is composed of two separate sections that begin with the bank balance and book balance, respectively. Reconciling items that apply to the bank balance are added and subtracted to arrive at the corrected cash balance. Likewise, reconciling items that apply to the book balance are added and subtracted to arrive at the same corrected cash balance. The corrected cash balance is the amount that should be shown on the balance sheet at the reconciliation date.</w:t>
      </w:r>
    </w:p>
    <w:sectPr w:rsidR="00F233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17B6"/>
    <w:rsid w:val="006F17B6"/>
    <w:rsid w:val="00F23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7B6"/>
    <w:pPr>
      <w:spacing w:after="0" w:line="240" w:lineRule="auto"/>
    </w:pPr>
    <w:rPr>
      <w:rFonts w:ascii="Helvetica" w:eastAsia="Times New Roman" w:hAnsi="Helvetica"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rsid w:val="006F17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jc w:val="both"/>
    </w:pPr>
    <w:rPr>
      <w:rFonts w:ascii="Courier New" w:eastAsia="Times New Roman" w:hAnsi="Courier New" w:cs="Times New Roman"/>
      <w:sz w:val="24"/>
      <w:szCs w:val="20"/>
    </w:rPr>
  </w:style>
  <w:style w:type="paragraph" w:customStyle="1" w:styleId="h1">
    <w:name w:val="h1"/>
    <w:rsid w:val="006F17B6"/>
    <w:pPr>
      <w:spacing w:after="0" w:line="240" w:lineRule="auto"/>
    </w:pPr>
    <w:rPr>
      <w:rFonts w:ascii="Helvetica" w:eastAsia="Times New Roman" w:hAnsi="Helvetica" w:cs="Times New Roman"/>
      <w:b/>
      <w:sz w:val="28"/>
      <w:szCs w:val="20"/>
    </w:rPr>
  </w:style>
  <w:style w:type="paragraph" w:customStyle="1" w:styleId="Review">
    <w:name w:val="Review"/>
    <w:basedOn w:val="BlockText"/>
    <w:rsid w:val="006F17B6"/>
    <w:pPr>
      <w:pBdr>
        <w:top w:val="none" w:sz="0" w:space="0" w:color="auto"/>
        <w:left w:val="none" w:sz="0" w:space="0" w:color="auto"/>
        <w:bottom w:val="none" w:sz="0" w:space="0" w:color="auto"/>
        <w:right w:val="none" w:sz="0" w:space="0" w:color="auto"/>
      </w:pBdr>
      <w:tabs>
        <w:tab w:val="right" w:pos="360"/>
        <w:tab w:val="left" w:pos="540"/>
      </w:tabs>
      <w:spacing w:line="280" w:lineRule="exact"/>
      <w:ind w:left="547" w:right="0" w:hanging="547"/>
      <w:jc w:val="both"/>
    </w:pPr>
    <w:rPr>
      <w:rFonts w:ascii="Helvetica" w:eastAsia="Times New Roman" w:hAnsi="Helvetica" w:cs="Times New Roman"/>
      <w:i w:val="0"/>
      <w:iCs w:val="0"/>
      <w:color w:val="auto"/>
    </w:rPr>
  </w:style>
  <w:style w:type="paragraph" w:customStyle="1" w:styleId="Review2">
    <w:name w:val="Review 2"/>
    <w:basedOn w:val="Normal"/>
    <w:rsid w:val="006F17B6"/>
    <w:pPr>
      <w:tabs>
        <w:tab w:val="left" w:pos="540"/>
        <w:tab w:val="left" w:pos="907"/>
      </w:tabs>
      <w:overflowPunct w:val="0"/>
      <w:autoSpaceDE w:val="0"/>
      <w:autoSpaceDN w:val="0"/>
      <w:adjustRightInd w:val="0"/>
      <w:spacing w:line="280" w:lineRule="exact"/>
      <w:ind w:left="907" w:hanging="907"/>
      <w:jc w:val="both"/>
    </w:pPr>
  </w:style>
  <w:style w:type="paragraph" w:styleId="Title">
    <w:name w:val="Title"/>
    <w:basedOn w:val="Normal"/>
    <w:link w:val="TitleChar"/>
    <w:qFormat/>
    <w:rsid w:val="006F17B6"/>
    <w:pPr>
      <w:jc w:val="center"/>
    </w:pPr>
    <w:rPr>
      <w:rFonts w:ascii="Arial" w:hAnsi="Arial"/>
      <w:b/>
      <w:sz w:val="28"/>
    </w:rPr>
  </w:style>
  <w:style w:type="character" w:customStyle="1" w:styleId="TitleChar">
    <w:name w:val="Title Char"/>
    <w:basedOn w:val="DefaultParagraphFont"/>
    <w:link w:val="Title"/>
    <w:rsid w:val="006F17B6"/>
    <w:rPr>
      <w:rFonts w:ascii="Arial" w:eastAsia="Times New Roman" w:hAnsi="Arial" w:cs="Times New Roman"/>
      <w:b/>
      <w:sz w:val="28"/>
      <w:szCs w:val="20"/>
    </w:rPr>
  </w:style>
  <w:style w:type="paragraph" w:styleId="Subtitle">
    <w:name w:val="Subtitle"/>
    <w:basedOn w:val="Normal"/>
    <w:link w:val="SubtitleChar"/>
    <w:qFormat/>
    <w:rsid w:val="006F17B6"/>
    <w:pPr>
      <w:jc w:val="center"/>
    </w:pPr>
    <w:rPr>
      <w:rFonts w:ascii="Arial" w:hAnsi="Arial"/>
      <w:b/>
    </w:rPr>
  </w:style>
  <w:style w:type="character" w:customStyle="1" w:styleId="SubtitleChar">
    <w:name w:val="Subtitle Char"/>
    <w:basedOn w:val="DefaultParagraphFont"/>
    <w:link w:val="Subtitle"/>
    <w:rsid w:val="006F17B6"/>
    <w:rPr>
      <w:rFonts w:ascii="Arial" w:eastAsia="Times New Roman" w:hAnsi="Arial" w:cs="Times New Roman"/>
      <w:b/>
      <w:sz w:val="24"/>
      <w:szCs w:val="20"/>
    </w:rPr>
  </w:style>
  <w:style w:type="paragraph" w:styleId="BlockText">
    <w:name w:val="Block Text"/>
    <w:basedOn w:val="Normal"/>
    <w:uiPriority w:val="99"/>
    <w:semiHidden/>
    <w:unhideWhenUsed/>
    <w:rsid w:val="006F17B6"/>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asciiTheme="minorHAnsi" w:eastAsiaTheme="minorEastAsia" w:hAnsiTheme="minorHAnsi" w:cstheme="minorBidi"/>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7B6"/>
    <w:pPr>
      <w:spacing w:after="0" w:line="240" w:lineRule="auto"/>
    </w:pPr>
    <w:rPr>
      <w:rFonts w:ascii="Helvetica" w:eastAsia="Times New Roman" w:hAnsi="Helvetica"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rsid w:val="006F17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jc w:val="both"/>
    </w:pPr>
    <w:rPr>
      <w:rFonts w:ascii="Courier New" w:eastAsia="Times New Roman" w:hAnsi="Courier New" w:cs="Times New Roman"/>
      <w:sz w:val="24"/>
      <w:szCs w:val="20"/>
    </w:rPr>
  </w:style>
  <w:style w:type="paragraph" w:customStyle="1" w:styleId="h1">
    <w:name w:val="h1"/>
    <w:rsid w:val="006F17B6"/>
    <w:pPr>
      <w:spacing w:after="0" w:line="240" w:lineRule="auto"/>
    </w:pPr>
    <w:rPr>
      <w:rFonts w:ascii="Helvetica" w:eastAsia="Times New Roman" w:hAnsi="Helvetica" w:cs="Times New Roman"/>
      <w:b/>
      <w:sz w:val="28"/>
      <w:szCs w:val="20"/>
    </w:rPr>
  </w:style>
  <w:style w:type="paragraph" w:customStyle="1" w:styleId="Review">
    <w:name w:val="Review"/>
    <w:basedOn w:val="BlockText"/>
    <w:rsid w:val="006F17B6"/>
    <w:pPr>
      <w:pBdr>
        <w:top w:val="none" w:sz="0" w:space="0" w:color="auto"/>
        <w:left w:val="none" w:sz="0" w:space="0" w:color="auto"/>
        <w:bottom w:val="none" w:sz="0" w:space="0" w:color="auto"/>
        <w:right w:val="none" w:sz="0" w:space="0" w:color="auto"/>
      </w:pBdr>
      <w:tabs>
        <w:tab w:val="right" w:pos="360"/>
        <w:tab w:val="left" w:pos="540"/>
      </w:tabs>
      <w:spacing w:line="280" w:lineRule="exact"/>
      <w:ind w:left="547" w:right="0" w:hanging="547"/>
      <w:jc w:val="both"/>
    </w:pPr>
    <w:rPr>
      <w:rFonts w:ascii="Helvetica" w:eastAsia="Times New Roman" w:hAnsi="Helvetica" w:cs="Times New Roman"/>
      <w:i w:val="0"/>
      <w:iCs w:val="0"/>
      <w:color w:val="auto"/>
    </w:rPr>
  </w:style>
  <w:style w:type="paragraph" w:customStyle="1" w:styleId="Review2">
    <w:name w:val="Review 2"/>
    <w:basedOn w:val="Normal"/>
    <w:rsid w:val="006F17B6"/>
    <w:pPr>
      <w:tabs>
        <w:tab w:val="left" w:pos="540"/>
        <w:tab w:val="left" w:pos="907"/>
      </w:tabs>
      <w:overflowPunct w:val="0"/>
      <w:autoSpaceDE w:val="0"/>
      <w:autoSpaceDN w:val="0"/>
      <w:adjustRightInd w:val="0"/>
      <w:spacing w:line="280" w:lineRule="exact"/>
      <w:ind w:left="907" w:hanging="907"/>
      <w:jc w:val="both"/>
    </w:pPr>
  </w:style>
  <w:style w:type="paragraph" w:styleId="Title">
    <w:name w:val="Title"/>
    <w:basedOn w:val="Normal"/>
    <w:link w:val="TitleChar"/>
    <w:qFormat/>
    <w:rsid w:val="006F17B6"/>
    <w:pPr>
      <w:jc w:val="center"/>
    </w:pPr>
    <w:rPr>
      <w:rFonts w:ascii="Arial" w:hAnsi="Arial"/>
      <w:b/>
      <w:sz w:val="28"/>
    </w:rPr>
  </w:style>
  <w:style w:type="character" w:customStyle="1" w:styleId="TitleChar">
    <w:name w:val="Title Char"/>
    <w:basedOn w:val="DefaultParagraphFont"/>
    <w:link w:val="Title"/>
    <w:rsid w:val="006F17B6"/>
    <w:rPr>
      <w:rFonts w:ascii="Arial" w:eastAsia="Times New Roman" w:hAnsi="Arial" w:cs="Times New Roman"/>
      <w:b/>
      <w:sz w:val="28"/>
      <w:szCs w:val="20"/>
    </w:rPr>
  </w:style>
  <w:style w:type="paragraph" w:styleId="Subtitle">
    <w:name w:val="Subtitle"/>
    <w:basedOn w:val="Normal"/>
    <w:link w:val="SubtitleChar"/>
    <w:qFormat/>
    <w:rsid w:val="006F17B6"/>
    <w:pPr>
      <w:jc w:val="center"/>
    </w:pPr>
    <w:rPr>
      <w:rFonts w:ascii="Arial" w:hAnsi="Arial"/>
      <w:b/>
    </w:rPr>
  </w:style>
  <w:style w:type="character" w:customStyle="1" w:styleId="SubtitleChar">
    <w:name w:val="Subtitle Char"/>
    <w:basedOn w:val="DefaultParagraphFont"/>
    <w:link w:val="Subtitle"/>
    <w:rsid w:val="006F17B6"/>
    <w:rPr>
      <w:rFonts w:ascii="Arial" w:eastAsia="Times New Roman" w:hAnsi="Arial" w:cs="Times New Roman"/>
      <w:b/>
      <w:sz w:val="24"/>
      <w:szCs w:val="20"/>
    </w:rPr>
  </w:style>
  <w:style w:type="paragraph" w:styleId="BlockText">
    <w:name w:val="Block Text"/>
    <w:basedOn w:val="Normal"/>
    <w:uiPriority w:val="99"/>
    <w:semiHidden/>
    <w:unhideWhenUsed/>
    <w:rsid w:val="006F17B6"/>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asciiTheme="minorHAnsi" w:eastAsiaTheme="minorEastAsia" w:hAnsiTheme="minorHAnsi" w:cstheme="minorBidi"/>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1185</Words>
  <Characters>6758</Characters>
  <Application>Microsoft Office Word</Application>
  <DocSecurity>0</DocSecurity>
  <Lines>56</Lines>
  <Paragraphs>15</Paragraphs>
  <ScaleCrop>false</ScaleCrop>
  <Company/>
  <LinksUpToDate>false</LinksUpToDate>
  <CharactersWithSpaces>7928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ADNAN</dc:creator>
  <cp:lastModifiedBy>ADNAN</cp:lastModifiedBy>
  <cp:revision>1</cp:revision>
  <dcterms:created xsi:type="dcterms:W3CDTF">2012-12-30T16:54:00Z</dcterms:created>
  <dcterms:modified xsi:type="dcterms:W3CDTF">2012-12-30T17:02:00Z</dcterms:modified>
</cp:coreProperties>
</file>