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017" w:rsidRDefault="006F3017" w:rsidP="006F3017">
      <w:pPr>
        <w:rPr>
          <w:rFonts w:ascii="Arial" w:hAnsi="Arial"/>
          <w:b/>
        </w:rPr>
      </w:pPr>
    </w:p>
    <w:p w:rsidR="006F3017" w:rsidRDefault="006F3017" w:rsidP="006F3017">
      <w:pPr>
        <w:pStyle w:val="Subtitle"/>
        <w:rPr>
          <w:rFonts w:ascii="Helvetica" w:hAnsi="Helvetica"/>
          <w:sz w:val="36"/>
          <w:u w:val="single"/>
        </w:rPr>
      </w:pPr>
    </w:p>
    <w:p w:rsidR="006F3017" w:rsidRPr="006F3017" w:rsidRDefault="006F3017" w:rsidP="006F3017">
      <w:pPr>
        <w:pStyle w:val="Subtitle"/>
        <w:rPr>
          <w:rFonts w:ascii="Helvetica" w:hAnsi="Helvetica"/>
          <w:sz w:val="36"/>
          <w:u w:val="single"/>
        </w:rPr>
      </w:pPr>
      <w:r w:rsidRPr="006F3017">
        <w:rPr>
          <w:rFonts w:ascii="Helvetica" w:hAnsi="Helvetica"/>
          <w:sz w:val="36"/>
          <w:u w:val="single"/>
        </w:rPr>
        <w:t>Lecture 08</w:t>
      </w:r>
    </w:p>
    <w:p w:rsidR="006F3017" w:rsidRPr="006F3017" w:rsidRDefault="006F3017" w:rsidP="006F3017">
      <w:pPr>
        <w:pStyle w:val="Subtitle"/>
        <w:rPr>
          <w:rFonts w:ascii="Helvetica" w:hAnsi="Helvetica"/>
          <w:sz w:val="36"/>
          <w:u w:val="single"/>
        </w:rPr>
      </w:pPr>
      <w:r w:rsidRPr="006F3017">
        <w:rPr>
          <w:rFonts w:ascii="Helvetica" w:hAnsi="Helvetica"/>
          <w:sz w:val="36"/>
          <w:u w:val="single"/>
        </w:rPr>
        <w:t xml:space="preserve">Practical Issues in </w:t>
      </w:r>
      <w:r w:rsidRPr="006F3017">
        <w:rPr>
          <w:rFonts w:ascii="Helvetica" w:hAnsi="Helvetica"/>
          <w:sz w:val="36"/>
          <w:u w:val="single"/>
        </w:rPr>
        <w:t>Cash and Receivables</w:t>
      </w:r>
    </w:p>
    <w:p w:rsidR="006F3017" w:rsidRDefault="006F3017" w:rsidP="006F3017">
      <w:pPr>
        <w:rPr>
          <w:rFonts w:ascii="Arial" w:hAnsi="Arial"/>
          <w:b/>
        </w:rPr>
      </w:pPr>
    </w:p>
    <w:p w:rsidR="006F3017" w:rsidRDefault="006F3017" w:rsidP="006F3017">
      <w:pPr>
        <w:pStyle w:val="Review"/>
        <w:tabs>
          <w:tab w:val="clear" w:pos="360"/>
          <w:tab w:val="clear" w:pos="540"/>
        </w:tabs>
        <w:spacing w:line="220" w:lineRule="exact"/>
      </w:pPr>
    </w:p>
    <w:p w:rsidR="006F3017" w:rsidRDefault="006F3017" w:rsidP="006F3017">
      <w:pPr>
        <w:spacing w:line="280" w:lineRule="exact"/>
        <w:jc w:val="both"/>
        <w:rPr>
          <w:b/>
          <w:u w:val="single"/>
        </w:rPr>
      </w:pPr>
    </w:p>
    <w:p w:rsidR="006F3017" w:rsidRDefault="006F3017" w:rsidP="006F3017">
      <w:pPr>
        <w:spacing w:line="280" w:lineRule="exact"/>
        <w:jc w:val="both"/>
      </w:pPr>
      <w:r>
        <w:rPr>
          <w:b/>
          <w:u w:val="single"/>
        </w:rPr>
        <w:t>Nature of Cash</w:t>
      </w:r>
    </w:p>
    <w:p w:rsidR="006F3017" w:rsidRDefault="006F3017" w:rsidP="006F3017">
      <w:pPr>
        <w:pStyle w:val="Review"/>
      </w:pPr>
      <w:r>
        <w:tab/>
        <w:t>2.</w:t>
      </w:r>
      <w:r>
        <w:tab/>
      </w:r>
      <w:r>
        <w:rPr>
          <w:b/>
        </w:rPr>
        <w:t>Cash</w:t>
      </w:r>
      <w:r>
        <w:t xml:space="preserve"> consists of coin, currency, bank deposits, and negotiable instruments such as money orders, checks, and bank drafts. Cash that has been designated for some specific use, other than for payment of currently maturing obligations, is segregated from the general cash account. This amount may be classified as a current asset if it will be </w:t>
      </w:r>
      <w:r>
        <w:rPr>
          <w:spacing w:val="-4"/>
        </w:rPr>
        <w:t xml:space="preserve">disbursed within one year or the operating cycle, whichever is longer. Otherwise, the amount </w:t>
      </w:r>
      <w:r>
        <w:t>should be shown as a noncurrent asset.</w:t>
      </w:r>
    </w:p>
    <w:p w:rsidR="006F3017" w:rsidRDefault="006F3017" w:rsidP="006F3017">
      <w:pPr>
        <w:pStyle w:val="Review"/>
        <w:tabs>
          <w:tab w:val="clear" w:pos="360"/>
          <w:tab w:val="clear" w:pos="540"/>
        </w:tabs>
        <w:spacing w:line="220" w:lineRule="exact"/>
      </w:pPr>
    </w:p>
    <w:p w:rsidR="006F3017" w:rsidRDefault="006F3017" w:rsidP="006F3017">
      <w:pPr>
        <w:spacing w:line="280" w:lineRule="exact"/>
        <w:jc w:val="both"/>
      </w:pPr>
      <w:r>
        <w:rPr>
          <w:b/>
          <w:u w:val="single"/>
        </w:rPr>
        <w:t>Reporting Cash</w:t>
      </w:r>
    </w:p>
    <w:p w:rsidR="006F3017" w:rsidRDefault="006F3017" w:rsidP="006F3017">
      <w:pPr>
        <w:pStyle w:val="Review"/>
      </w:pPr>
      <w:r>
        <w:tab/>
        <w:t>3.</w:t>
      </w:r>
      <w:r>
        <w:tab/>
      </w:r>
      <w:r>
        <w:rPr>
          <w:b/>
        </w:rPr>
        <w:t>Cash equivalents</w:t>
      </w:r>
      <w:r>
        <w:t xml:space="preserve"> are short-term, highly liquid investments that are both </w:t>
      </w:r>
      <w:r>
        <w:br/>
        <w:t xml:space="preserve">(a) readily convertible to known amounts of cash and (b) so near their maturity that they present insignificant risk of changes in value because of changes in interest rates. If an asset is not cash and is short-term in nature, it should be reported as </w:t>
      </w:r>
      <w:proofErr w:type="spellStart"/>
      <w:r>
        <w:t>as</w:t>
      </w:r>
      <w:proofErr w:type="spellEnd"/>
      <w:r>
        <w:t xml:space="preserve"> a temporary investment.</w:t>
      </w:r>
    </w:p>
    <w:p w:rsidR="006F3017" w:rsidRDefault="006F3017" w:rsidP="006F3017">
      <w:pPr>
        <w:pStyle w:val="Review"/>
        <w:spacing w:line="220" w:lineRule="exact"/>
      </w:pPr>
    </w:p>
    <w:p w:rsidR="006F3017" w:rsidRDefault="006F3017" w:rsidP="006F3017">
      <w:pPr>
        <w:pStyle w:val="Review"/>
      </w:pPr>
      <w:r>
        <w:tab/>
        <w:t>4.</w:t>
      </w:r>
      <w:r>
        <w:tab/>
        <w:t xml:space="preserve">It is common practice for a corporation to have an agreement with a bank concerning credit and borrowing arrangements. When such an agreement exists, the bank usually requires the company to maintain a minimum cash balance on deposit. This minimum balance is known as a </w:t>
      </w:r>
      <w:r>
        <w:rPr>
          <w:b/>
        </w:rPr>
        <w:t>compensating balance.</w:t>
      </w:r>
      <w:r>
        <w:t xml:space="preserve"> Compensating balances that result in legally restricted deposits must be separately classified in the balance sheet. The nature of the borrowing arrangement determines whether the compensating balance is classified as a current asset or a noncurrent asset.</w:t>
      </w:r>
    </w:p>
    <w:p w:rsidR="006F3017" w:rsidRDefault="006F3017" w:rsidP="006F3017">
      <w:pPr>
        <w:pStyle w:val="Review"/>
        <w:spacing w:line="220" w:lineRule="exact"/>
      </w:pPr>
    </w:p>
    <w:p w:rsidR="006F3017" w:rsidRDefault="006F3017" w:rsidP="006F3017">
      <w:pPr>
        <w:pStyle w:val="Review"/>
      </w:pPr>
      <w:r>
        <w:tab/>
        <w:t>5.</w:t>
      </w:r>
      <w:r>
        <w:tab/>
        <w:t xml:space="preserve">Bank overdrafts occur when a company writes a check for more than the amount in the </w:t>
      </w:r>
      <w:r>
        <w:rPr>
          <w:spacing w:val="-2"/>
        </w:rPr>
        <w:t>cash account. Bank overdrafts should be accounted for as accounts payable or, if material</w:t>
      </w:r>
      <w:r>
        <w:t>, separately disclosed on the balance sheet or in the related notes.</w:t>
      </w:r>
    </w:p>
    <w:p w:rsidR="006F3017" w:rsidRDefault="006F3017" w:rsidP="006F3017">
      <w:pPr>
        <w:pStyle w:val="Review"/>
        <w:tabs>
          <w:tab w:val="clear" w:pos="360"/>
          <w:tab w:val="clear" w:pos="540"/>
        </w:tabs>
        <w:spacing w:line="220" w:lineRule="exact"/>
      </w:pPr>
    </w:p>
    <w:p w:rsidR="006F3017" w:rsidRDefault="006F3017" w:rsidP="006F3017">
      <w:pPr>
        <w:spacing w:line="280" w:lineRule="exact"/>
        <w:jc w:val="both"/>
        <w:rPr>
          <w:b/>
          <w:u w:val="single"/>
        </w:rPr>
      </w:pPr>
    </w:p>
    <w:p w:rsidR="006F3017" w:rsidRDefault="006F3017" w:rsidP="006F3017">
      <w:pPr>
        <w:spacing w:line="280" w:lineRule="exact"/>
        <w:jc w:val="both"/>
      </w:pPr>
      <w:bookmarkStart w:id="0" w:name="_GoBack"/>
      <w:bookmarkEnd w:id="0"/>
      <w:r>
        <w:rPr>
          <w:b/>
          <w:u w:val="single"/>
        </w:rPr>
        <w:t>Accounts Receivable</w:t>
      </w:r>
    </w:p>
    <w:p w:rsidR="006F3017" w:rsidRDefault="006F3017" w:rsidP="006F3017">
      <w:pPr>
        <w:pStyle w:val="Review"/>
      </w:pPr>
      <w:r>
        <w:tab/>
        <w:t>6.</w:t>
      </w:r>
      <w:r>
        <w:tab/>
      </w:r>
      <w:r>
        <w:rPr>
          <w:b/>
          <w:spacing w:val="-2"/>
        </w:rPr>
        <w:t xml:space="preserve">Receivables </w:t>
      </w:r>
      <w:r>
        <w:rPr>
          <w:spacing w:val="-2"/>
        </w:rPr>
        <w:t>are claims held against customers and others for money</w:t>
      </w:r>
      <w:r>
        <w:t xml:space="preserve">, goods, or services. Receivables may generally be classified as </w:t>
      </w:r>
      <w:r>
        <w:rPr>
          <w:b/>
        </w:rPr>
        <w:t xml:space="preserve">trade </w:t>
      </w:r>
      <w:r>
        <w:t xml:space="preserve">or </w:t>
      </w:r>
      <w:r>
        <w:rPr>
          <w:b/>
        </w:rPr>
        <w:t>nontrade.</w:t>
      </w:r>
      <w:r>
        <w:t xml:space="preserve"> Trade </w:t>
      </w:r>
      <w:r>
        <w:rPr>
          <w:spacing w:val="-2"/>
        </w:rPr>
        <w:t xml:space="preserve">receivables (accounts receivable and notes receivable) are the most significant receivables </w:t>
      </w:r>
      <w:r>
        <w:t xml:space="preserve">an enterprise possesses. Accounts receivable are oral promises of the purchaser to pay </w:t>
      </w:r>
      <w:r>
        <w:rPr>
          <w:spacing w:val="-2"/>
        </w:rPr>
        <w:t xml:space="preserve">for goods and services sold. Notes receivable are written promises to pay a certain sum of money on a specified future date. Nontrade receivables arise from a variety of transactions and can be written promises either to pay or to deliver. </w:t>
      </w:r>
      <w:r>
        <w:rPr>
          <w:spacing w:val="-2"/>
        </w:rPr>
        <w:lastRenderedPageBreak/>
        <w:t xml:space="preserve">Nontrade receivables are generally </w:t>
      </w:r>
      <w:r>
        <w:t>classified and reported as separate items in the balance sheet.</w:t>
      </w:r>
    </w:p>
    <w:p w:rsidR="006F3017" w:rsidRDefault="006F3017" w:rsidP="006F3017">
      <w:pPr>
        <w:pStyle w:val="Review"/>
      </w:pPr>
    </w:p>
    <w:p w:rsidR="006F3017" w:rsidRDefault="006F3017" w:rsidP="006F3017">
      <w:pPr>
        <w:pStyle w:val="Review"/>
      </w:pPr>
      <w:r>
        <w:tab/>
        <w:t>7.</w:t>
      </w:r>
      <w:r>
        <w:tab/>
      </w:r>
      <w:r>
        <w:rPr>
          <w:spacing w:val="-3"/>
        </w:rPr>
        <w:t xml:space="preserve">In most receivable transactions, the amount to be recognized is the exchange </w:t>
      </w:r>
      <w:r>
        <w:rPr>
          <w:spacing w:val="-2"/>
        </w:rPr>
        <w:t>price</w:t>
      </w:r>
      <w:r>
        <w:rPr>
          <w:spacing w:val="-3"/>
        </w:rPr>
        <w:t xml:space="preserve"> (amount due from the debtor) between the two parties. Two factors that may complicate the measurement of the exchange are (a) the availability of discounts (trade and cash) and (b) the length of time between the sale and the payment due date (the interest element).</w:t>
      </w:r>
    </w:p>
    <w:p w:rsidR="006F3017" w:rsidRDefault="006F3017" w:rsidP="006F3017">
      <w:pPr>
        <w:pStyle w:val="Review"/>
      </w:pPr>
    </w:p>
    <w:p w:rsidR="006F3017" w:rsidRDefault="006F3017" w:rsidP="006F3017">
      <w:pPr>
        <w:pStyle w:val="Review"/>
      </w:pPr>
      <w:r>
        <w:tab/>
        <w:t>8.</w:t>
      </w:r>
      <w:r>
        <w:tab/>
        <w:t xml:space="preserve">Two types of discounts that must be considered in determining the value of receivables are </w:t>
      </w:r>
      <w:r>
        <w:rPr>
          <w:b/>
        </w:rPr>
        <w:t xml:space="preserve">trade discounts </w:t>
      </w:r>
      <w:r>
        <w:t xml:space="preserve">and </w:t>
      </w:r>
      <w:r>
        <w:rPr>
          <w:b/>
        </w:rPr>
        <w:t>cash discounts.</w:t>
      </w:r>
      <w:r>
        <w:t xml:space="preserve"> Trade discounts represent reductions from the list or catalog prices of merchandise. They are often used to avoid frequent changes in catalogs or to quote different prices for different quantities purchased. Cash discounts (also called sales discounts) are offered as an inducement for prompt payment and are communicated in terms that read, for example, 2/10, </w:t>
      </w:r>
      <w:r>
        <w:rPr>
          <w:i/>
          <w:spacing w:val="20"/>
        </w:rPr>
        <w:t>n</w:t>
      </w:r>
      <w:r>
        <w:rPr>
          <w:spacing w:val="20"/>
        </w:rPr>
        <w:t>/</w:t>
      </w:r>
      <w:r>
        <w:t xml:space="preserve">30 (2% discount if paid within </w:t>
      </w:r>
      <w:r>
        <w:t>10 days of the purchase or invoice date, otherwise the gross amount is due in 30 days).</w:t>
      </w:r>
    </w:p>
    <w:p w:rsidR="006F3017" w:rsidRDefault="006F3017" w:rsidP="006F3017">
      <w:pPr>
        <w:pStyle w:val="Review"/>
      </w:pPr>
    </w:p>
    <w:p w:rsidR="006F3017" w:rsidRDefault="006F3017" w:rsidP="006F3017">
      <w:pPr>
        <w:pStyle w:val="Review"/>
      </w:pPr>
      <w:r>
        <w:tab/>
        <w:t>9.</w:t>
      </w:r>
      <w:r>
        <w:tab/>
      </w:r>
      <w:r>
        <w:rPr>
          <w:spacing w:val="-2"/>
        </w:rPr>
        <w:t xml:space="preserve">It is highly unlikely that a company that extends credit to its customers will be successful in collecting all of its receivables. Thus, some method must be adopted to account for receivables that ultimately prove to be uncollectible. The two methods currently used are the </w:t>
      </w:r>
      <w:r>
        <w:rPr>
          <w:b/>
          <w:spacing w:val="-2"/>
        </w:rPr>
        <w:t xml:space="preserve">direct write-off method </w:t>
      </w:r>
      <w:r>
        <w:rPr>
          <w:spacing w:val="-2"/>
        </w:rPr>
        <w:t xml:space="preserve">and the </w:t>
      </w:r>
      <w:r>
        <w:rPr>
          <w:b/>
          <w:spacing w:val="-2"/>
        </w:rPr>
        <w:t>allowance method.</w:t>
      </w:r>
      <w:r>
        <w:rPr>
          <w:spacing w:val="-2"/>
        </w:rPr>
        <w:t xml:space="preserve"> Under the direct write-off method, the receivable account is reduced and an expense is recorded when a specific account is determined to be uncollectible. The direct-write off method is theoretically deficient because it usually does not match costs and revenues of the period, nor does it result in receivables being stated at estimated realizable value on the balance sheet. The direct write-off method is not appropriate if the amount deemed uncollectible is material.</w:t>
      </w:r>
    </w:p>
    <w:p w:rsidR="006F3017" w:rsidRDefault="006F3017" w:rsidP="006F3017">
      <w:pPr>
        <w:pStyle w:val="Review"/>
      </w:pPr>
    </w:p>
    <w:p w:rsidR="006F3017" w:rsidRDefault="006F3017" w:rsidP="006F3017">
      <w:pPr>
        <w:pStyle w:val="Review"/>
      </w:pPr>
      <w:r>
        <w:tab/>
        <w:t>10.</w:t>
      </w:r>
      <w:r>
        <w:tab/>
        <w:t xml:space="preserve">Use of the allowance method requires a year-end estimate of expected uncollectible accounts based upon credit sales or outstanding receivables. </w:t>
      </w:r>
      <w:r>
        <w:rPr>
          <w:spacing w:val="-2"/>
        </w:rPr>
        <w:t xml:space="preserve">This ensures that companies state receivables on the balance sheet at their </w:t>
      </w:r>
      <w:r>
        <w:rPr>
          <w:b/>
          <w:spacing w:val="-2"/>
        </w:rPr>
        <w:t>net realizable value</w:t>
      </w:r>
      <w:r>
        <w:rPr>
          <w:spacing w:val="-2"/>
        </w:rPr>
        <w:t xml:space="preserve">. Net realizable value is the net amount the company expects to receive in cash. </w:t>
      </w:r>
      <w:r>
        <w:t>The estimate of uncollectible accounts is recorded by debiting an expense and crediting the allowance account in the period in which the sale is recorded. Then, in a subsequent period, when an account is deemed to be uncollectible, an entry is made debiting the allowance account and crediting accounts receivable.</w:t>
      </w:r>
    </w:p>
    <w:p w:rsidR="006F3017" w:rsidRDefault="006F3017" w:rsidP="006F3017">
      <w:pPr>
        <w:pStyle w:val="Review"/>
      </w:pPr>
    </w:p>
    <w:p w:rsidR="006F3017" w:rsidRDefault="006F3017" w:rsidP="006F3017">
      <w:pPr>
        <w:pStyle w:val="Review"/>
      </w:pPr>
      <w:r>
        <w:tab/>
        <w:t>11.</w:t>
      </w:r>
      <w:r>
        <w:tab/>
        <w:t xml:space="preserve">Advocates of the allowance method contend that its use provides for a proper matching of </w:t>
      </w:r>
      <w:r>
        <w:rPr>
          <w:spacing w:val="-4"/>
        </w:rPr>
        <w:t xml:space="preserve">revenues and expenses as well as reflecting a proper carrying value for accounts receivable </w:t>
      </w:r>
      <w:r>
        <w:t xml:space="preserve">at the end of the period. When the allowance method is used, the estimated amount of </w:t>
      </w:r>
      <w:r>
        <w:rPr>
          <w:spacing w:val="-7"/>
        </w:rPr>
        <w:t>uncollectible accounts is normally based upon a percentage of sales or outstanding receivables</w:t>
      </w:r>
      <w:r>
        <w:t xml:space="preserve">. </w:t>
      </w:r>
      <w:r>
        <w:rPr>
          <w:spacing w:val="-4"/>
        </w:rPr>
        <w:t xml:space="preserve">The </w:t>
      </w:r>
      <w:r>
        <w:rPr>
          <w:b/>
          <w:spacing w:val="-3"/>
        </w:rPr>
        <w:t>percentage</w:t>
      </w:r>
      <w:r>
        <w:rPr>
          <w:b/>
          <w:spacing w:val="-4"/>
        </w:rPr>
        <w:t xml:space="preserve">-of-sales method </w:t>
      </w:r>
      <w:r>
        <w:rPr>
          <w:spacing w:val="-4"/>
        </w:rPr>
        <w:t xml:space="preserve">attempts to match costs with revenues, and is frequently </w:t>
      </w:r>
      <w:r>
        <w:rPr>
          <w:spacing w:val="-2"/>
        </w:rPr>
        <w:t xml:space="preserve">referred to as the income statement approach. The </w:t>
      </w:r>
      <w:r>
        <w:rPr>
          <w:b/>
          <w:spacing w:val="-2"/>
        </w:rPr>
        <w:t xml:space="preserve">percentage-of-receivables approach </w:t>
      </w:r>
      <w:r>
        <w:rPr>
          <w:spacing w:val="-2"/>
        </w:rPr>
        <w:t xml:space="preserve">provides a reasonably </w:t>
      </w:r>
      <w:r>
        <w:rPr>
          <w:spacing w:val="-2"/>
        </w:rPr>
        <w:lastRenderedPageBreak/>
        <w:t xml:space="preserve">accurate estimate of the net realizable value of receivables shown </w:t>
      </w:r>
      <w:r>
        <w:rPr>
          <w:spacing w:val="-4"/>
        </w:rPr>
        <w:t>on the balance sheet. This approach is commonly referred to as the balance sheet approach.</w:t>
      </w:r>
    </w:p>
    <w:p w:rsidR="006F3017" w:rsidRDefault="006F3017" w:rsidP="006F3017">
      <w:pPr>
        <w:pStyle w:val="Review"/>
      </w:pPr>
    </w:p>
    <w:p w:rsidR="006F3017" w:rsidRDefault="006F3017" w:rsidP="006F3017">
      <w:pPr>
        <w:pStyle w:val="Review"/>
      </w:pPr>
      <w:r>
        <w:tab/>
        <w:t>12.</w:t>
      </w:r>
      <w:r>
        <w:tab/>
        <w:t xml:space="preserve">The method used to determine the amount of bad debt expense each year affects the </w:t>
      </w:r>
      <w:r>
        <w:rPr>
          <w:spacing w:val="-2"/>
        </w:rPr>
        <w:t xml:space="preserve">amount of expense recorded. Under the percentage-of-sales method, the amount recorded </w:t>
      </w:r>
      <w:r>
        <w:rPr>
          <w:spacing w:val="-6"/>
        </w:rPr>
        <w:t xml:space="preserve">as bad debt expense is the amount determined by multiplying the estimated percentage times </w:t>
      </w:r>
      <w:r>
        <w:t>the credit sales. However, under the percentage-of-receivables approach, the unadjusted ending balance in the allowance account must be considered in arriving at bad debts expense for the year.</w:t>
      </w:r>
    </w:p>
    <w:p w:rsidR="006F3017" w:rsidRDefault="006F3017" w:rsidP="006F3017">
      <w:pPr>
        <w:spacing w:line="280" w:lineRule="exact"/>
        <w:jc w:val="both"/>
        <w:rPr>
          <w:b/>
          <w:u w:val="single"/>
        </w:rPr>
      </w:pPr>
    </w:p>
    <w:sectPr w:rsidR="006F3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017"/>
    <w:rsid w:val="006F3017"/>
    <w:rsid w:val="00C0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17"/>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F3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F3017"/>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6F3017"/>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6F3017"/>
    <w:pPr>
      <w:tabs>
        <w:tab w:val="left" w:pos="540"/>
        <w:tab w:val="left" w:pos="907"/>
      </w:tabs>
      <w:overflowPunct w:val="0"/>
      <w:autoSpaceDE w:val="0"/>
      <w:autoSpaceDN w:val="0"/>
      <w:adjustRightInd w:val="0"/>
      <w:spacing w:line="280" w:lineRule="exact"/>
      <w:ind w:left="907" w:hanging="907"/>
      <w:jc w:val="both"/>
    </w:pPr>
  </w:style>
  <w:style w:type="paragraph" w:styleId="Title">
    <w:name w:val="Title"/>
    <w:basedOn w:val="Normal"/>
    <w:link w:val="TitleChar"/>
    <w:qFormat/>
    <w:rsid w:val="006F3017"/>
    <w:pPr>
      <w:jc w:val="center"/>
    </w:pPr>
    <w:rPr>
      <w:rFonts w:ascii="Arial" w:hAnsi="Arial"/>
      <w:b/>
      <w:sz w:val="28"/>
    </w:rPr>
  </w:style>
  <w:style w:type="character" w:customStyle="1" w:styleId="TitleChar">
    <w:name w:val="Title Char"/>
    <w:basedOn w:val="DefaultParagraphFont"/>
    <w:link w:val="Title"/>
    <w:rsid w:val="006F3017"/>
    <w:rPr>
      <w:rFonts w:ascii="Arial" w:eastAsia="Times New Roman" w:hAnsi="Arial" w:cs="Times New Roman"/>
      <w:b/>
      <w:sz w:val="28"/>
      <w:szCs w:val="20"/>
    </w:rPr>
  </w:style>
  <w:style w:type="paragraph" w:styleId="Subtitle">
    <w:name w:val="Subtitle"/>
    <w:basedOn w:val="Normal"/>
    <w:link w:val="SubtitleChar"/>
    <w:qFormat/>
    <w:rsid w:val="006F3017"/>
    <w:pPr>
      <w:jc w:val="center"/>
    </w:pPr>
    <w:rPr>
      <w:rFonts w:ascii="Arial" w:hAnsi="Arial"/>
      <w:b/>
    </w:rPr>
  </w:style>
  <w:style w:type="character" w:customStyle="1" w:styleId="SubtitleChar">
    <w:name w:val="Subtitle Char"/>
    <w:basedOn w:val="DefaultParagraphFont"/>
    <w:link w:val="Subtitle"/>
    <w:rsid w:val="006F3017"/>
    <w:rPr>
      <w:rFonts w:ascii="Arial" w:eastAsia="Times New Roman" w:hAnsi="Arial" w:cs="Times New Roman"/>
      <w:b/>
      <w:sz w:val="24"/>
      <w:szCs w:val="20"/>
    </w:rPr>
  </w:style>
  <w:style w:type="paragraph" w:styleId="BlockText">
    <w:name w:val="Block Text"/>
    <w:basedOn w:val="Normal"/>
    <w:uiPriority w:val="99"/>
    <w:semiHidden/>
    <w:unhideWhenUsed/>
    <w:rsid w:val="006F301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17"/>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F3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F3017"/>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6F3017"/>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6F3017"/>
    <w:pPr>
      <w:tabs>
        <w:tab w:val="left" w:pos="540"/>
        <w:tab w:val="left" w:pos="907"/>
      </w:tabs>
      <w:overflowPunct w:val="0"/>
      <w:autoSpaceDE w:val="0"/>
      <w:autoSpaceDN w:val="0"/>
      <w:adjustRightInd w:val="0"/>
      <w:spacing w:line="280" w:lineRule="exact"/>
      <w:ind w:left="907" w:hanging="907"/>
      <w:jc w:val="both"/>
    </w:pPr>
  </w:style>
  <w:style w:type="paragraph" w:styleId="Title">
    <w:name w:val="Title"/>
    <w:basedOn w:val="Normal"/>
    <w:link w:val="TitleChar"/>
    <w:qFormat/>
    <w:rsid w:val="006F3017"/>
    <w:pPr>
      <w:jc w:val="center"/>
    </w:pPr>
    <w:rPr>
      <w:rFonts w:ascii="Arial" w:hAnsi="Arial"/>
      <w:b/>
      <w:sz w:val="28"/>
    </w:rPr>
  </w:style>
  <w:style w:type="character" w:customStyle="1" w:styleId="TitleChar">
    <w:name w:val="Title Char"/>
    <w:basedOn w:val="DefaultParagraphFont"/>
    <w:link w:val="Title"/>
    <w:rsid w:val="006F3017"/>
    <w:rPr>
      <w:rFonts w:ascii="Arial" w:eastAsia="Times New Roman" w:hAnsi="Arial" w:cs="Times New Roman"/>
      <w:b/>
      <w:sz w:val="28"/>
      <w:szCs w:val="20"/>
    </w:rPr>
  </w:style>
  <w:style w:type="paragraph" w:styleId="Subtitle">
    <w:name w:val="Subtitle"/>
    <w:basedOn w:val="Normal"/>
    <w:link w:val="SubtitleChar"/>
    <w:qFormat/>
    <w:rsid w:val="006F3017"/>
    <w:pPr>
      <w:jc w:val="center"/>
    </w:pPr>
    <w:rPr>
      <w:rFonts w:ascii="Arial" w:hAnsi="Arial"/>
      <w:b/>
    </w:rPr>
  </w:style>
  <w:style w:type="character" w:customStyle="1" w:styleId="SubtitleChar">
    <w:name w:val="Subtitle Char"/>
    <w:basedOn w:val="DefaultParagraphFont"/>
    <w:link w:val="Subtitle"/>
    <w:rsid w:val="006F3017"/>
    <w:rPr>
      <w:rFonts w:ascii="Arial" w:eastAsia="Times New Roman" w:hAnsi="Arial" w:cs="Times New Roman"/>
      <w:b/>
      <w:sz w:val="24"/>
      <w:szCs w:val="20"/>
    </w:rPr>
  </w:style>
  <w:style w:type="paragraph" w:styleId="BlockText">
    <w:name w:val="Block Text"/>
    <w:basedOn w:val="Normal"/>
    <w:uiPriority w:val="99"/>
    <w:semiHidden/>
    <w:unhideWhenUsed/>
    <w:rsid w:val="006F301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897</Words>
  <Characters>5119</Characters>
  <Application>Microsoft Office Word</Application>
  <DocSecurity>0</DocSecurity>
  <Lines>42</Lines>
  <Paragraphs>12</Paragraphs>
  <ScaleCrop>false</ScaleCrop>
  <Company/>
  <LinksUpToDate>false</LinksUpToDate>
  <CharactersWithSpaces>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2012-12-30T16:28:00Z</dcterms:created>
  <dcterms:modified xsi:type="dcterms:W3CDTF">2012-12-30T16:30:00Z</dcterms:modified>
</cp:coreProperties>
</file>