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436" w:rsidRPr="00E33436" w:rsidRDefault="00E33436" w:rsidP="00E33436">
      <w:pPr>
        <w:pStyle w:val="Subtitle"/>
        <w:rPr>
          <w:rFonts w:ascii="Helvetica" w:hAnsi="Helvetica"/>
          <w:sz w:val="36"/>
          <w:u w:val="single"/>
        </w:rPr>
      </w:pPr>
      <w:r w:rsidRPr="00E33436">
        <w:rPr>
          <w:rFonts w:ascii="Helvetica" w:hAnsi="Helvetica"/>
          <w:sz w:val="36"/>
          <w:u w:val="single"/>
        </w:rPr>
        <w:t>Lecture 07</w:t>
      </w:r>
    </w:p>
    <w:p w:rsidR="00E33436" w:rsidRPr="00E33436" w:rsidRDefault="00E33436" w:rsidP="00E33436">
      <w:pPr>
        <w:pStyle w:val="Subtitle"/>
        <w:rPr>
          <w:rFonts w:ascii="Helvetica" w:hAnsi="Helvetica"/>
          <w:sz w:val="36"/>
          <w:u w:val="single"/>
        </w:rPr>
      </w:pPr>
      <w:r w:rsidRPr="00E33436">
        <w:rPr>
          <w:rFonts w:ascii="Helvetica" w:hAnsi="Helvetica"/>
          <w:sz w:val="36"/>
          <w:u w:val="single"/>
        </w:rPr>
        <w:t>Practical Issues related to Balance Sheet and Statement of Cash Flows</w:t>
      </w:r>
    </w:p>
    <w:p w:rsidR="00E33436" w:rsidRDefault="00E33436" w:rsidP="00E33436">
      <w:pPr>
        <w:rPr>
          <w:b/>
        </w:rPr>
      </w:pPr>
    </w:p>
    <w:p w:rsidR="00E33436" w:rsidRDefault="00E33436" w:rsidP="00E33436"/>
    <w:p w:rsidR="00E33436" w:rsidRDefault="00E33436" w:rsidP="00E33436">
      <w:pPr>
        <w:rPr>
          <w:b/>
        </w:rPr>
      </w:pPr>
      <w:r>
        <w:rPr>
          <w:b/>
          <w:u w:val="single"/>
        </w:rPr>
        <w:t>Uses and Limitations of the Balance Sheet</w:t>
      </w:r>
    </w:p>
    <w:p w:rsidR="00E33436" w:rsidRDefault="00E33436" w:rsidP="00E33436"/>
    <w:p w:rsidR="00E33436" w:rsidRDefault="00E33436" w:rsidP="00E33436">
      <w:pPr>
        <w:pStyle w:val="Review"/>
      </w:pPr>
      <w:r>
        <w:tab/>
        <w:t>1.</w:t>
      </w:r>
      <w:r>
        <w:tab/>
        <w:t>For many years financial statement users generally considered the income statement to be superior to the balance sheet as a basis for judging the economic well-</w:t>
      </w:r>
      <w:r>
        <w:rPr>
          <w:spacing w:val="-3"/>
        </w:rPr>
        <w:t>being of an enterprise. However, the balance sheet can be a very useful financial statement</w:t>
      </w:r>
      <w:r>
        <w:t xml:space="preserve">. </w:t>
      </w:r>
      <w:r>
        <w:rPr>
          <w:spacing w:val="-5"/>
        </w:rPr>
        <w:t xml:space="preserve">If a balance sheet is examined carefully, users can gain a considerable amount of information </w:t>
      </w:r>
      <w:r>
        <w:t xml:space="preserve">related to </w:t>
      </w:r>
      <w:r>
        <w:rPr>
          <w:b/>
        </w:rPr>
        <w:t xml:space="preserve">liquidity, solvency </w:t>
      </w:r>
      <w:r>
        <w:t xml:space="preserve">and </w:t>
      </w:r>
      <w:r>
        <w:rPr>
          <w:b/>
        </w:rPr>
        <w:t>financial flexibility.</w:t>
      </w:r>
      <w:r>
        <w:t xml:space="preserve"> Liquidity is generally related to the amount of time that is expected to elapse until an asset is realized or otherwise converted into cash or until a liability has to be paid. Solvency refers to the ability of an enterprise to pay its debts as they mature. Financial flexibility is the ability of an enterprise to take effective action to alter the amounts and timing of cash flow so that it can respond to unexpected needs and opportunities.</w:t>
      </w:r>
    </w:p>
    <w:p w:rsidR="00E33436" w:rsidRDefault="00E33436" w:rsidP="00E33436">
      <w:pPr>
        <w:pStyle w:val="Review"/>
      </w:pPr>
    </w:p>
    <w:p w:rsidR="00E33436" w:rsidRDefault="00E33436" w:rsidP="00E33436">
      <w:pPr>
        <w:pStyle w:val="Review"/>
      </w:pPr>
      <w:r>
        <w:tab/>
        <w:t>2.</w:t>
      </w:r>
      <w:r>
        <w:tab/>
        <w:t xml:space="preserve">Criticism of the balance sheet has revolved around the limitations of the information </w:t>
      </w:r>
      <w:r>
        <w:rPr>
          <w:spacing w:val="-2"/>
        </w:rPr>
        <w:t>presented therein. These limitations include: (a) failure to reflect current value information</w:t>
      </w:r>
      <w:r>
        <w:t>, (b) the extensive use of estimates, and (c) failure to include items of financial value that cannot be recorded objectively.</w:t>
      </w:r>
    </w:p>
    <w:p w:rsidR="00E33436" w:rsidRDefault="00E33436" w:rsidP="00E33436">
      <w:pPr>
        <w:pStyle w:val="Review"/>
      </w:pPr>
    </w:p>
    <w:p w:rsidR="00E33436" w:rsidRDefault="00E33436" w:rsidP="00E33436">
      <w:pPr>
        <w:pStyle w:val="Review"/>
      </w:pPr>
      <w:r>
        <w:tab/>
        <w:t>4.</w:t>
      </w:r>
      <w:r>
        <w:tab/>
        <w:t xml:space="preserve">The problem with current value information concerns the reliability of such information. The estimation process involved in developing current-value type information causes </w:t>
      </w:r>
      <w:bookmarkStart w:id="0" w:name="_GoBack"/>
      <w:bookmarkEnd w:id="0"/>
      <w:r>
        <w:t xml:space="preserve">a concern about the objectivity of the resulting financial information. The use of estimates is extensive in the development of balance sheet data. These estimates are required by generally accepted accounting principles, but reflect a limitation of the balance sheet. The limitation concerns the fact that the estimates are only as good as the understanding and objectivity of the person(s) making the estimates. The final limitation of the balance sheet concerns the fact that some significant assets of the entity are not recorded. Items such </w:t>
      </w:r>
      <w:r>
        <w:rPr>
          <w:spacing w:val="-4"/>
        </w:rPr>
        <w:t xml:space="preserve">as human resources (employee workforce), managerial skills, customer base, and reputation </w:t>
      </w:r>
      <w:r>
        <w:t>are not recorded because such assets are difficult to quantify.</w:t>
      </w:r>
    </w:p>
    <w:p w:rsidR="00E33436" w:rsidRDefault="00E33436" w:rsidP="00E33436">
      <w:pPr>
        <w:pStyle w:val="Review"/>
      </w:pPr>
    </w:p>
    <w:p w:rsidR="00E33436" w:rsidRDefault="00E33436" w:rsidP="00E33436">
      <w:r>
        <w:rPr>
          <w:b/>
          <w:u w:val="single"/>
        </w:rPr>
        <w:br w:type="page"/>
      </w:r>
      <w:r>
        <w:rPr>
          <w:b/>
          <w:u w:val="single"/>
        </w:rPr>
        <w:lastRenderedPageBreak/>
        <w:t>Classification in the Balance Sheet</w:t>
      </w:r>
    </w:p>
    <w:p w:rsidR="00E33436" w:rsidRDefault="00E33436" w:rsidP="00E33436"/>
    <w:p w:rsidR="00E33436" w:rsidRDefault="00E33436" w:rsidP="00E33436">
      <w:pPr>
        <w:pStyle w:val="Review"/>
      </w:pPr>
      <w:r>
        <w:tab/>
        <w:t>5.</w:t>
      </w:r>
      <w:r>
        <w:tab/>
      </w:r>
      <w:r>
        <w:rPr>
          <w:spacing w:val="-2"/>
        </w:rPr>
        <w:t xml:space="preserve">The </w:t>
      </w:r>
      <w:r>
        <w:rPr>
          <w:b/>
          <w:spacing w:val="-2"/>
        </w:rPr>
        <w:t xml:space="preserve">major classifications </w:t>
      </w:r>
      <w:r>
        <w:rPr>
          <w:spacing w:val="-2"/>
        </w:rPr>
        <w:t xml:space="preserve">used in the balance sheet are </w:t>
      </w:r>
      <w:r>
        <w:rPr>
          <w:b/>
          <w:spacing w:val="-2"/>
        </w:rPr>
        <w:t xml:space="preserve">assets, liabilities, </w:t>
      </w:r>
      <w:r>
        <w:rPr>
          <w:spacing w:val="-2"/>
        </w:rPr>
        <w:t xml:space="preserve">and </w:t>
      </w:r>
      <w:r>
        <w:rPr>
          <w:b/>
          <w:spacing w:val="-2"/>
        </w:rPr>
        <w:t xml:space="preserve">equity. </w:t>
      </w:r>
      <w:r>
        <w:rPr>
          <w:spacing w:val="-2"/>
        </w:rPr>
        <w:t xml:space="preserve">These items were defined in the discussion presented in Chapter 2. To provide the financial statement reader with additional information, these major classifications are divided into several </w:t>
      </w:r>
      <w:proofErr w:type="spellStart"/>
      <w:r>
        <w:rPr>
          <w:b/>
          <w:spacing w:val="-2"/>
        </w:rPr>
        <w:t>subclassifications</w:t>
      </w:r>
      <w:proofErr w:type="spellEnd"/>
      <w:r>
        <w:rPr>
          <w:b/>
          <w:spacing w:val="-2"/>
        </w:rPr>
        <w:t xml:space="preserve">. </w:t>
      </w:r>
      <w:r>
        <w:rPr>
          <w:spacing w:val="-2"/>
        </w:rPr>
        <w:t xml:space="preserve">Assets are further classified as </w:t>
      </w:r>
      <w:r>
        <w:rPr>
          <w:b/>
          <w:spacing w:val="-2"/>
        </w:rPr>
        <w:t xml:space="preserve">current </w:t>
      </w:r>
      <w:r>
        <w:rPr>
          <w:spacing w:val="-2"/>
        </w:rPr>
        <w:t xml:space="preserve">or </w:t>
      </w:r>
      <w:r>
        <w:rPr>
          <w:b/>
          <w:spacing w:val="-2"/>
        </w:rPr>
        <w:t xml:space="preserve">noncurrent, </w:t>
      </w:r>
      <w:r>
        <w:rPr>
          <w:spacing w:val="-2"/>
        </w:rPr>
        <w:t xml:space="preserve">with the noncurrent divided among long-term investments; property, plant, and equipment; intangible assets; and other assets. Liabilities are classified as </w:t>
      </w:r>
      <w:r>
        <w:rPr>
          <w:b/>
          <w:spacing w:val="-2"/>
        </w:rPr>
        <w:t>current</w:t>
      </w:r>
      <w:r>
        <w:rPr>
          <w:spacing w:val="-2"/>
        </w:rPr>
        <w:t xml:space="preserve"> or </w:t>
      </w:r>
      <w:r>
        <w:rPr>
          <w:b/>
          <w:spacing w:val="-2"/>
        </w:rPr>
        <w:t xml:space="preserve">noncurrent. </w:t>
      </w:r>
      <w:r>
        <w:rPr>
          <w:spacing w:val="-2"/>
        </w:rPr>
        <w:t>Owners’ equity includes capital stock, additional paid-in capital, and retained earnings. These items are defined as follows:</w:t>
      </w:r>
    </w:p>
    <w:p w:rsidR="00E33436" w:rsidRDefault="00E33436" w:rsidP="00E33436"/>
    <w:p w:rsidR="00E33436" w:rsidRDefault="00E33436" w:rsidP="00E33436">
      <w:pPr>
        <w:pStyle w:val="Review"/>
      </w:pPr>
      <w:r>
        <w:rPr>
          <w:b/>
        </w:rPr>
        <w:tab/>
      </w:r>
      <w:r>
        <w:rPr>
          <w:b/>
        </w:rPr>
        <w:tab/>
      </w:r>
      <w:proofErr w:type="gramStart"/>
      <w:r>
        <w:rPr>
          <w:b/>
        </w:rPr>
        <w:t>Assets.</w:t>
      </w:r>
      <w:proofErr w:type="gramEnd"/>
      <w:r>
        <w:rPr>
          <w:b/>
        </w:rPr>
        <w:t> </w:t>
      </w:r>
      <w:r>
        <w:t>Probable future economic benefits obtained or controlled by a particular entity as a result of past transactions or events.</w:t>
      </w:r>
    </w:p>
    <w:p w:rsidR="00E33436" w:rsidRDefault="00E33436" w:rsidP="00E33436">
      <w:pPr>
        <w:pStyle w:val="Review"/>
        <w:rPr>
          <w:b/>
        </w:rPr>
      </w:pPr>
    </w:p>
    <w:p w:rsidR="00E33436" w:rsidRDefault="00E33436" w:rsidP="00E33436">
      <w:pPr>
        <w:pStyle w:val="Review"/>
        <w:rPr>
          <w:spacing w:val="-2"/>
        </w:rPr>
      </w:pPr>
      <w:r>
        <w:rPr>
          <w:b/>
        </w:rPr>
        <w:tab/>
      </w:r>
      <w:r>
        <w:rPr>
          <w:b/>
        </w:rPr>
        <w:tab/>
      </w:r>
      <w:proofErr w:type="gramStart"/>
      <w:r>
        <w:rPr>
          <w:b/>
          <w:spacing w:val="-2"/>
        </w:rPr>
        <w:t>Liabilities.</w:t>
      </w:r>
      <w:proofErr w:type="gramEnd"/>
      <w:r>
        <w:rPr>
          <w:b/>
          <w:spacing w:val="-2"/>
        </w:rPr>
        <w:t> </w:t>
      </w:r>
      <w:r>
        <w:rPr>
          <w:spacing w:val="-2"/>
        </w:rPr>
        <w:t>Probable future sacrifices of economic benefits arising from present obligations of a particular entity to transfer assets or provide services to other entities in the future as a result of past transactions or events.</w:t>
      </w:r>
    </w:p>
    <w:p w:rsidR="00E33436" w:rsidRDefault="00E33436" w:rsidP="00E33436">
      <w:pPr>
        <w:pStyle w:val="Review"/>
        <w:rPr>
          <w:b/>
        </w:rPr>
      </w:pPr>
    </w:p>
    <w:p w:rsidR="00E33436" w:rsidRDefault="00E33436" w:rsidP="00E33436">
      <w:pPr>
        <w:pStyle w:val="Review"/>
      </w:pPr>
      <w:r>
        <w:rPr>
          <w:b/>
        </w:rPr>
        <w:tab/>
      </w:r>
      <w:r>
        <w:rPr>
          <w:b/>
        </w:rPr>
        <w:tab/>
      </w:r>
      <w:proofErr w:type="gramStart"/>
      <w:r>
        <w:rPr>
          <w:b/>
          <w:spacing w:val="-3"/>
        </w:rPr>
        <w:t>Equity.</w:t>
      </w:r>
      <w:proofErr w:type="gramEnd"/>
      <w:r>
        <w:rPr>
          <w:b/>
          <w:spacing w:val="-3"/>
        </w:rPr>
        <w:t> </w:t>
      </w:r>
      <w:proofErr w:type="gramStart"/>
      <w:r>
        <w:rPr>
          <w:spacing w:val="-3"/>
        </w:rPr>
        <w:t>Residual interest in the assets of an entity that remains after deducting its liabilities</w:t>
      </w:r>
      <w:r>
        <w:t>.</w:t>
      </w:r>
      <w:proofErr w:type="gramEnd"/>
      <w:r>
        <w:t xml:space="preserve"> In a business enterprise, the equity is the ownership interest.</w:t>
      </w:r>
    </w:p>
    <w:p w:rsidR="00E33436" w:rsidRDefault="00E33436" w:rsidP="00E33436">
      <w:pPr>
        <w:pStyle w:val="Review"/>
      </w:pPr>
    </w:p>
    <w:p w:rsidR="00E33436" w:rsidRDefault="00E33436" w:rsidP="00E33436">
      <w:pPr>
        <w:pStyle w:val="Review"/>
      </w:pPr>
      <w:r>
        <w:rPr>
          <w:b/>
          <w:u w:val="single"/>
        </w:rPr>
        <w:t>Current Assets</w:t>
      </w:r>
    </w:p>
    <w:p w:rsidR="00E33436" w:rsidRDefault="00E33436" w:rsidP="00E33436"/>
    <w:p w:rsidR="00E33436" w:rsidRDefault="00E33436" w:rsidP="00E33436">
      <w:pPr>
        <w:pStyle w:val="Review"/>
      </w:pPr>
      <w:r>
        <w:tab/>
        <w:t>6.</w:t>
      </w:r>
      <w:r>
        <w:tab/>
      </w:r>
      <w:r>
        <w:rPr>
          <w:b/>
        </w:rPr>
        <w:t xml:space="preserve">Current assets </w:t>
      </w:r>
      <w:r>
        <w:t xml:space="preserve">are cash and other assets expected to be converted into cash, sold, or consumed either in one year or in the operating cycle, whichever is longer. There are </w:t>
      </w:r>
      <w:r>
        <w:rPr>
          <w:spacing w:val="-2"/>
        </w:rPr>
        <w:t xml:space="preserve">some exceptions to a literal interpretation of the current asset definition. These exceptions </w:t>
      </w:r>
      <w:r>
        <w:t xml:space="preserve">involve prepaid expenses, investments in common stock, and the subsequent years’ </w:t>
      </w:r>
      <w:r>
        <w:rPr>
          <w:spacing w:val="-4"/>
        </w:rPr>
        <w:t xml:space="preserve">depreciation of fixed assets. These exceptions are recognized in the accounting process and </w:t>
      </w:r>
      <w:r>
        <w:t xml:space="preserve">are understood by most financial statement users. Current assets are presented in the </w:t>
      </w:r>
      <w:r>
        <w:rPr>
          <w:spacing w:val="-5"/>
        </w:rPr>
        <w:t>balance sheet in the order of their liquidity and normally include cash, short-term investments</w:t>
      </w:r>
      <w:r>
        <w:t>, receivables, inventories, and prepaid expenses.</w:t>
      </w:r>
    </w:p>
    <w:p w:rsidR="00E33436" w:rsidRDefault="00E33436" w:rsidP="00E33436"/>
    <w:p w:rsidR="00E33436" w:rsidRDefault="00E33436" w:rsidP="00E33436">
      <w:pPr>
        <w:rPr>
          <w:b/>
          <w:u w:val="single"/>
        </w:rPr>
      </w:pPr>
      <w:r>
        <w:rPr>
          <w:b/>
          <w:u w:val="single"/>
        </w:rPr>
        <w:t>Short-Term Investments and Other Items</w:t>
      </w:r>
    </w:p>
    <w:p w:rsidR="00E33436" w:rsidRDefault="00E33436" w:rsidP="00E33436"/>
    <w:p w:rsidR="00E33436" w:rsidRDefault="00E33436" w:rsidP="00E33436">
      <w:pPr>
        <w:pStyle w:val="Review"/>
      </w:pPr>
      <w:r>
        <w:tab/>
        <w:t>7.</w:t>
      </w:r>
      <w:r>
        <w:tab/>
        <w:t xml:space="preserve">Any restrictions on the general availability of </w:t>
      </w:r>
      <w:r>
        <w:rPr>
          <w:b/>
        </w:rPr>
        <w:t>cash</w:t>
      </w:r>
      <w:r>
        <w:t xml:space="preserve"> or any commitments on its probable disposition must be disclosed. </w:t>
      </w:r>
      <w:r>
        <w:rPr>
          <w:b/>
        </w:rPr>
        <w:t xml:space="preserve">Short-term investments </w:t>
      </w:r>
      <w:r>
        <w:t xml:space="preserve">are usually categorized as held-to-maturity, trading, or available-for-sale. Any anticipated loss due to </w:t>
      </w:r>
      <w:proofErr w:type="spellStart"/>
      <w:r>
        <w:t>uncollectibles</w:t>
      </w:r>
      <w:proofErr w:type="spellEnd"/>
      <w:r>
        <w:t xml:space="preserve">, the amount and nature of any nontrade </w:t>
      </w:r>
      <w:r>
        <w:rPr>
          <w:b/>
        </w:rPr>
        <w:t>receivables,</w:t>
      </w:r>
      <w:r>
        <w:t xml:space="preserve"> and any receivables designated as collateral should be clearly identified. For a proper presentation of </w:t>
      </w:r>
      <w:r>
        <w:rPr>
          <w:b/>
        </w:rPr>
        <w:t>inventories,</w:t>
      </w:r>
      <w:r>
        <w:t xml:space="preserve"> the basis </w:t>
      </w:r>
      <w:r>
        <w:rPr>
          <w:spacing w:val="-2"/>
        </w:rPr>
        <w:t xml:space="preserve">of valuation (i.e., lower of cost or market) and the method of pricing (FIFO or LIFO) should </w:t>
      </w:r>
      <w:r>
        <w:t xml:space="preserve">be disclosed. </w:t>
      </w:r>
      <w:r>
        <w:rPr>
          <w:b/>
        </w:rPr>
        <w:t>Prepaid expenses</w:t>
      </w:r>
      <w:r>
        <w:t xml:space="preserve"> are expenditures already made for benefits (usually services) to be received within one year or the operating cycle, whichever is longer.</w:t>
      </w:r>
    </w:p>
    <w:p w:rsidR="00E33436" w:rsidRDefault="00E33436" w:rsidP="00E33436"/>
    <w:p w:rsidR="00E33436" w:rsidRDefault="00E33436" w:rsidP="00E33436">
      <w:r>
        <w:rPr>
          <w:b/>
          <w:u w:val="single"/>
        </w:rPr>
        <w:lastRenderedPageBreak/>
        <w:t>Long-Term Investments</w:t>
      </w:r>
    </w:p>
    <w:p w:rsidR="00E33436" w:rsidRDefault="00E33436" w:rsidP="00E33436">
      <w:pPr>
        <w:pStyle w:val="Footer"/>
        <w:tabs>
          <w:tab w:val="clear" w:pos="4320"/>
          <w:tab w:val="clear" w:pos="8640"/>
        </w:tabs>
        <w:spacing w:line="240" w:lineRule="exact"/>
      </w:pPr>
    </w:p>
    <w:p w:rsidR="00E33436" w:rsidRDefault="00E33436" w:rsidP="00E33436">
      <w:pPr>
        <w:pStyle w:val="Review"/>
      </w:pPr>
      <w:r>
        <w:tab/>
        <w:t>8.</w:t>
      </w:r>
      <w:r>
        <w:tab/>
        <w:t xml:space="preserve">Items classified as </w:t>
      </w:r>
      <w:r>
        <w:rPr>
          <w:b/>
        </w:rPr>
        <w:t xml:space="preserve">long-term investments </w:t>
      </w:r>
      <w:r>
        <w:t>in the assets section of the balance sheet normally are one of four types. These include:</w:t>
      </w:r>
    </w:p>
    <w:p w:rsidR="00E33436" w:rsidRDefault="00E33436" w:rsidP="00E33436">
      <w:pPr>
        <w:pStyle w:val="Footer"/>
        <w:tabs>
          <w:tab w:val="clear" w:pos="4320"/>
          <w:tab w:val="clear" w:pos="8640"/>
        </w:tabs>
        <w:spacing w:line="240" w:lineRule="exact"/>
      </w:pPr>
    </w:p>
    <w:p w:rsidR="00E33436" w:rsidRDefault="00E33436" w:rsidP="00E33436">
      <w:pPr>
        <w:pStyle w:val="Review2"/>
      </w:pPr>
      <w:r>
        <w:tab/>
        <w:t>a.</w:t>
      </w:r>
      <w:r>
        <w:tab/>
        <w:t>Investments in securities, such as common stock, bonds, or long-term notes.</w:t>
      </w:r>
    </w:p>
    <w:p w:rsidR="00E33436" w:rsidRDefault="00E33436" w:rsidP="00E33436">
      <w:pPr>
        <w:pStyle w:val="Review2"/>
      </w:pPr>
      <w:r>
        <w:tab/>
        <w:t>b.</w:t>
      </w:r>
      <w:r>
        <w:tab/>
        <w:t>Investments in tangible fixed assets not currently used in operations.</w:t>
      </w:r>
    </w:p>
    <w:p w:rsidR="00E33436" w:rsidRDefault="00E33436" w:rsidP="00E33436">
      <w:pPr>
        <w:pStyle w:val="Review2"/>
      </w:pPr>
    </w:p>
    <w:p w:rsidR="00E33436" w:rsidRDefault="00E33436" w:rsidP="00E33436">
      <w:pPr>
        <w:pStyle w:val="Review2"/>
      </w:pPr>
      <w:r>
        <w:tab/>
        <w:t>c.</w:t>
      </w:r>
      <w:r>
        <w:tab/>
        <w:t>Investments set aside in special funds (sinking, pension, plant expansion, etc.) and cash surrender value of life insurance.</w:t>
      </w:r>
    </w:p>
    <w:p w:rsidR="00E33436" w:rsidRDefault="00E33436" w:rsidP="00E33436">
      <w:pPr>
        <w:pStyle w:val="Review2"/>
      </w:pPr>
    </w:p>
    <w:p w:rsidR="00E33436" w:rsidRDefault="00E33436" w:rsidP="00E33436">
      <w:pPr>
        <w:pStyle w:val="Review2"/>
      </w:pPr>
      <w:r>
        <w:tab/>
        <w:t>d.</w:t>
      </w:r>
      <w:r>
        <w:tab/>
        <w:t>Investments in nonconsolidated subsidiaries or affiliated companies.</w:t>
      </w:r>
    </w:p>
    <w:p w:rsidR="00E33436" w:rsidRDefault="00E33436" w:rsidP="00E33436"/>
    <w:p w:rsidR="00E33436" w:rsidRDefault="00E33436" w:rsidP="00E33436">
      <w:pPr>
        <w:pStyle w:val="Review"/>
      </w:pPr>
      <w:r>
        <w:tab/>
      </w:r>
      <w:r>
        <w:tab/>
        <w:t xml:space="preserve">Long-term investments are rather permanent in nature as they are not normally disposed of for a long period of time. They are shown in the balance sheet below current assets in a separate section called </w:t>
      </w:r>
      <w:r>
        <w:rPr>
          <w:b/>
        </w:rPr>
        <w:t>Investments.</w:t>
      </w:r>
    </w:p>
    <w:p w:rsidR="00E33436" w:rsidRDefault="00E33436" w:rsidP="00E33436"/>
    <w:p w:rsidR="00E33436" w:rsidRDefault="00E33436" w:rsidP="00E33436">
      <w:pPr>
        <w:rPr>
          <w:b/>
          <w:u w:val="single"/>
        </w:rPr>
      </w:pPr>
      <w:r>
        <w:rPr>
          <w:b/>
          <w:u w:val="single"/>
        </w:rPr>
        <w:t>Property, Plant and Equipment</w:t>
      </w:r>
    </w:p>
    <w:p w:rsidR="00E33436" w:rsidRDefault="00E33436" w:rsidP="00E33436"/>
    <w:p w:rsidR="00E33436" w:rsidRDefault="00E33436" w:rsidP="00E33436">
      <w:pPr>
        <w:pStyle w:val="Review"/>
      </w:pPr>
      <w:r>
        <w:tab/>
        <w:t>9.</w:t>
      </w:r>
      <w:r>
        <w:tab/>
      </w:r>
      <w:r>
        <w:rPr>
          <w:b/>
        </w:rPr>
        <w:t>Property, plant and equipment</w:t>
      </w:r>
      <w:r>
        <w:t xml:space="preserve"> are properties of a durable nature that are used in the </w:t>
      </w:r>
      <w:r>
        <w:rPr>
          <w:spacing w:val="-2"/>
        </w:rPr>
        <w:t>regular operations of the enterprise. Examples include land, buildings, machinery, furniture</w:t>
      </w:r>
      <w:r>
        <w:t xml:space="preserve">, </w:t>
      </w:r>
      <w:r>
        <w:rPr>
          <w:spacing w:val="-2"/>
        </w:rPr>
        <w:t>tools, and wasting resources. With the exception of land, these assets are either deprecia</w:t>
      </w:r>
      <w:r>
        <w:rPr>
          <w:spacing w:val="-2"/>
        </w:rPr>
        <w:softHyphen/>
      </w:r>
      <w:r>
        <w:t xml:space="preserve">ble or </w:t>
      </w:r>
      <w:proofErr w:type="spellStart"/>
      <w:r>
        <w:t>depletable</w:t>
      </w:r>
      <w:proofErr w:type="spellEnd"/>
      <w:r>
        <w:t>.</w:t>
      </w:r>
    </w:p>
    <w:p w:rsidR="00E33436" w:rsidRDefault="00E33436" w:rsidP="00E33436"/>
    <w:p w:rsidR="00E33436" w:rsidRDefault="00E33436" w:rsidP="00E33436">
      <w:pPr>
        <w:rPr>
          <w:b/>
          <w:u w:val="single"/>
        </w:rPr>
      </w:pPr>
      <w:r>
        <w:rPr>
          <w:b/>
          <w:u w:val="single"/>
        </w:rPr>
        <w:t>Intangible Assets</w:t>
      </w:r>
    </w:p>
    <w:p w:rsidR="00E33436" w:rsidRDefault="00E33436" w:rsidP="00E33436"/>
    <w:p w:rsidR="00E33436" w:rsidRDefault="00E33436" w:rsidP="00E33436">
      <w:pPr>
        <w:pStyle w:val="Review"/>
      </w:pPr>
      <w:r>
        <w:tab/>
        <w:t>10.</w:t>
      </w:r>
      <w:r>
        <w:tab/>
      </w:r>
      <w:r>
        <w:rPr>
          <w:b/>
        </w:rPr>
        <w:t>Intangible assets</w:t>
      </w:r>
      <w:r>
        <w:t xml:space="preserve"> lack physical substance; however, their benefit lies in the rights they </w:t>
      </w:r>
      <w:r>
        <w:rPr>
          <w:spacing w:val="-4"/>
        </w:rPr>
        <w:t>convey to the holder. Examples include patents, copyrights, franchises, goodwill, trademarks</w:t>
      </w:r>
      <w:r>
        <w:t>, trade names, and secret processes.</w:t>
      </w:r>
    </w:p>
    <w:p w:rsidR="00E33436" w:rsidRDefault="00E33436" w:rsidP="00E33436">
      <w:pPr>
        <w:pStyle w:val="Review"/>
      </w:pPr>
    </w:p>
    <w:p w:rsidR="00E33436" w:rsidRDefault="00E33436" w:rsidP="00E33436">
      <w:pPr>
        <w:pStyle w:val="Review"/>
      </w:pPr>
      <w:r>
        <w:tab/>
        <w:t>11.</w:t>
      </w:r>
      <w:r>
        <w:tab/>
      </w:r>
      <w:r>
        <w:rPr>
          <w:b/>
        </w:rPr>
        <w:t>Limited-life</w:t>
      </w:r>
      <w:r>
        <w:t xml:space="preserve"> intangible assets are amortized over their useful lives. </w:t>
      </w:r>
      <w:r>
        <w:rPr>
          <w:b/>
        </w:rPr>
        <w:t>Indefinite-life</w:t>
      </w:r>
      <w:r>
        <w:t xml:space="preserve"> intan</w:t>
      </w:r>
      <w:r>
        <w:softHyphen/>
        <w:t>gibles (such as goodwill) are not amortized but, instead, are assessed at least annually for impairment.</w:t>
      </w:r>
    </w:p>
    <w:p w:rsidR="00E33436" w:rsidRDefault="00E33436" w:rsidP="00E33436">
      <w:pPr>
        <w:pStyle w:val="Review"/>
      </w:pPr>
    </w:p>
    <w:p w:rsidR="00E33436" w:rsidRDefault="00E33436" w:rsidP="00E33436">
      <w:r>
        <w:rPr>
          <w:b/>
          <w:u w:val="single"/>
        </w:rPr>
        <w:t>Other Assets</w:t>
      </w:r>
    </w:p>
    <w:p w:rsidR="00E33436" w:rsidRDefault="00E33436" w:rsidP="00E33436"/>
    <w:p w:rsidR="00E33436" w:rsidRDefault="00E33436" w:rsidP="00E33436">
      <w:pPr>
        <w:pStyle w:val="Review"/>
      </w:pPr>
      <w:r>
        <w:tab/>
        <w:t>12.</w:t>
      </w:r>
      <w:r>
        <w:tab/>
        <w:t xml:space="preserve">Many companies include an </w:t>
      </w:r>
      <w:r>
        <w:rPr>
          <w:b/>
        </w:rPr>
        <w:t xml:space="preserve">“Other Assets” </w:t>
      </w:r>
      <w:r>
        <w:t>classification in the balance sheet after Property, Plant, and Equipment. This section includes a wide variety of items that do not appear to fall clearly into one of the other classifications. Some of the more common items included in this section are: deferred charges, noncurrent receivables, intangible assets, assets in special funds, and advances to subsidiaries.</w:t>
      </w:r>
    </w:p>
    <w:p w:rsidR="00E33436" w:rsidRDefault="00E33436" w:rsidP="00E33436"/>
    <w:p w:rsidR="00E33436" w:rsidRDefault="00E33436" w:rsidP="00E33436">
      <w:r>
        <w:rPr>
          <w:b/>
          <w:u w:val="single"/>
        </w:rPr>
        <w:t>Current Liabilities</w:t>
      </w:r>
    </w:p>
    <w:p w:rsidR="00E33436" w:rsidRDefault="00E33436" w:rsidP="00E33436"/>
    <w:p w:rsidR="00E33436" w:rsidRDefault="00E33436" w:rsidP="00E33436">
      <w:pPr>
        <w:pStyle w:val="Review"/>
      </w:pPr>
      <w:r>
        <w:lastRenderedPageBreak/>
        <w:tab/>
        <w:t>13.</w:t>
      </w:r>
      <w:r>
        <w:tab/>
      </w:r>
      <w:r>
        <w:rPr>
          <w:b/>
        </w:rPr>
        <w:t xml:space="preserve">Current liabilities </w:t>
      </w:r>
      <w:r>
        <w:t>are the obligations that are reasonably expected to be liquidated either through the use of current assets or the creation of other current liabilities. Items normally shown in the current liabilities section of the balance sheet include notes and accounts payable, advances received from customers, current maturities of long-term debt, taxes payable, and accrued liabilities. Obligations due to be paid during the next year may be excluded from the current liability section if the item is expected to be refinanced through long-term debt or the item will be paid out of noncurrent assets.</w:t>
      </w:r>
    </w:p>
    <w:p w:rsidR="00E33436" w:rsidRDefault="00E33436" w:rsidP="00E33436">
      <w:pPr>
        <w:pStyle w:val="Review"/>
      </w:pPr>
    </w:p>
    <w:p w:rsidR="00E33436" w:rsidRDefault="00E33436" w:rsidP="00E33436">
      <w:pPr>
        <w:pStyle w:val="Review"/>
      </w:pPr>
      <w:r>
        <w:tab/>
        <w:t>14.</w:t>
      </w:r>
      <w:r>
        <w:tab/>
      </w:r>
      <w:r>
        <w:rPr>
          <w:b/>
          <w:spacing w:val="-2"/>
        </w:rPr>
        <w:t xml:space="preserve">Working capital </w:t>
      </w:r>
      <w:r>
        <w:rPr>
          <w:spacing w:val="-2"/>
        </w:rPr>
        <w:t>is the excess of current assets over current liabilities. This concept, sometimes referred to as net working capital, represents the net amount of a company’s relatively liquid resources. By reference to this amount, a financial statement user is able to assess the entity’s margin of safety for meeting financial demands of the operating cycle. While the amount of working capital has a definite relationship to liquidity, the reader must analyze the composition of the current assets to determine their nearness to cash.</w:t>
      </w:r>
    </w:p>
    <w:p w:rsidR="00E33436" w:rsidRDefault="00E33436" w:rsidP="00E33436"/>
    <w:p w:rsidR="00E33436" w:rsidRDefault="00E33436" w:rsidP="00E33436">
      <w:r>
        <w:rPr>
          <w:b/>
          <w:u w:val="single"/>
        </w:rPr>
        <w:t>Long-Term Liabilities</w:t>
      </w:r>
    </w:p>
    <w:p w:rsidR="00E33436" w:rsidRDefault="00E33436" w:rsidP="00E33436"/>
    <w:p w:rsidR="00E33436" w:rsidRDefault="00E33436" w:rsidP="00E33436">
      <w:pPr>
        <w:pStyle w:val="Review"/>
      </w:pPr>
      <w:r>
        <w:tab/>
        <w:t>15.</w:t>
      </w:r>
      <w:r>
        <w:tab/>
      </w:r>
      <w:r>
        <w:rPr>
          <w:b/>
          <w:spacing w:val="-2"/>
        </w:rPr>
        <w:t xml:space="preserve">Long-term liabilities </w:t>
      </w:r>
      <w:r>
        <w:rPr>
          <w:spacing w:val="-2"/>
        </w:rPr>
        <w:t xml:space="preserve">are obligations whose settlement date extends beyond the normal </w:t>
      </w:r>
      <w:r>
        <w:t>operating cycle or one year, whichever is longer. Examples include bonds payable, notes payable, lease obligations, and pension obligations. Generally, the disclosure require</w:t>
      </w:r>
      <w:r>
        <w:softHyphen/>
        <w:t>ments for</w:t>
      </w:r>
      <w:r>
        <w:rPr>
          <w:spacing w:val="-2"/>
        </w:rPr>
        <w:t xml:space="preserve"> long-term liabilities are quite substantial as a result of various covenants and restrictions included for the protection of the lenders. Long-term liabilities that mature within </w:t>
      </w:r>
      <w:r>
        <w:t>the current operating cycle are classified as current liabilities if their liquidation requires use of current assets. Long-term liabilities generally fall into one of the three following categories</w:t>
      </w:r>
      <w:r>
        <w:rPr>
          <w:spacing w:val="-2"/>
        </w:rPr>
        <w:t>:</w:t>
      </w:r>
    </w:p>
    <w:p w:rsidR="00E33436" w:rsidRDefault="00E33436" w:rsidP="00E33436"/>
    <w:p w:rsidR="00E33436" w:rsidRDefault="00E33436" w:rsidP="00E33436">
      <w:pPr>
        <w:pStyle w:val="Review2"/>
      </w:pPr>
      <w:r>
        <w:tab/>
        <w:t>a.</w:t>
      </w:r>
      <w:r>
        <w:tab/>
        <w:t>Obligations arising from specific financing situations, such as the issuance of bonds, long-term lease obligations, and long-term notes payable.</w:t>
      </w:r>
    </w:p>
    <w:p w:rsidR="00E33436" w:rsidRDefault="00E33436" w:rsidP="00E33436">
      <w:pPr>
        <w:pStyle w:val="Review2"/>
      </w:pPr>
    </w:p>
    <w:p w:rsidR="00E33436" w:rsidRDefault="00E33436" w:rsidP="00E33436">
      <w:pPr>
        <w:pStyle w:val="Review2"/>
      </w:pPr>
      <w:r>
        <w:tab/>
        <w:t>b.</w:t>
      </w:r>
      <w:r>
        <w:tab/>
        <w:t>Obligations arising from the ordinary operations of the company such as pension obligations and deferred income tax liabilities.</w:t>
      </w:r>
    </w:p>
    <w:p w:rsidR="00E33436" w:rsidRDefault="00E33436" w:rsidP="00E33436">
      <w:pPr>
        <w:pStyle w:val="Review2"/>
      </w:pPr>
    </w:p>
    <w:p w:rsidR="00E33436" w:rsidRDefault="00E33436" w:rsidP="00E33436">
      <w:pPr>
        <w:pStyle w:val="Review2"/>
      </w:pPr>
      <w:r>
        <w:tab/>
        <w:t>c.</w:t>
      </w:r>
      <w:r>
        <w:tab/>
      </w:r>
      <w:r>
        <w:rPr>
          <w:spacing w:val="-2"/>
        </w:rPr>
        <w:t xml:space="preserve">Obligations that depend on the occurrence or non-occurrence of one or more </w:t>
      </w:r>
      <w:r>
        <w:rPr>
          <w:spacing w:val="-3"/>
        </w:rPr>
        <w:t>future events to confirm the amount payable, or the date payable, such as product warranties and other contingencies.</w:t>
      </w:r>
    </w:p>
    <w:p w:rsidR="00E33436" w:rsidRDefault="00E33436" w:rsidP="00E33436"/>
    <w:p w:rsidR="00E33436" w:rsidRDefault="00E33436" w:rsidP="00E33436">
      <w:r>
        <w:rPr>
          <w:b/>
          <w:u w:val="single"/>
        </w:rPr>
        <w:t>Owners’ Equity</w:t>
      </w:r>
      <w:r>
        <w:t xml:space="preserve"> </w:t>
      </w:r>
    </w:p>
    <w:p w:rsidR="00E33436" w:rsidRDefault="00E33436" w:rsidP="00E33436"/>
    <w:p w:rsidR="00E33436" w:rsidRDefault="00E33436" w:rsidP="00E33436">
      <w:pPr>
        <w:pStyle w:val="Review"/>
      </w:pPr>
      <w:r>
        <w:tab/>
        <w:t>16.</w:t>
      </w:r>
      <w:r>
        <w:tab/>
      </w:r>
      <w:r>
        <w:rPr>
          <w:spacing w:val="-6"/>
        </w:rPr>
        <w:t xml:space="preserve">The </w:t>
      </w:r>
      <w:r>
        <w:rPr>
          <w:b/>
          <w:spacing w:val="-6"/>
        </w:rPr>
        <w:t xml:space="preserve">owners’ equity section </w:t>
      </w:r>
      <w:r>
        <w:rPr>
          <w:spacing w:val="-6"/>
        </w:rPr>
        <w:t>of the balance sheet includes information related to capital stock</w:t>
      </w:r>
      <w:r>
        <w:t>, additional paid-in capital, and retained earnings. Preparation of the owners’ equity section should be approached with caution because of the various restrictions imposed by state corporation laws, liability agreements, and voluntary actions of the board of directors.</w:t>
      </w:r>
    </w:p>
    <w:p w:rsidR="00E33436" w:rsidRDefault="00E33436" w:rsidP="00E33436"/>
    <w:p w:rsidR="00E33436" w:rsidRDefault="00E33436" w:rsidP="00E33436">
      <w:r>
        <w:rPr>
          <w:b/>
          <w:u w:val="single"/>
        </w:rPr>
        <w:lastRenderedPageBreak/>
        <w:t>Balance Sheet Format</w:t>
      </w:r>
    </w:p>
    <w:p w:rsidR="00E33436" w:rsidRDefault="00E33436" w:rsidP="00E33436"/>
    <w:p w:rsidR="00E33436" w:rsidRDefault="00E33436" w:rsidP="00E33436">
      <w:pPr>
        <w:pStyle w:val="Review"/>
      </w:pPr>
      <w:r>
        <w:tab/>
        <w:t>17.</w:t>
      </w:r>
      <w:r>
        <w:tab/>
        <w:t>The account format of a classified balance sheet lists assets by sections on the left side and liabilities and stockholders’ equity by sections on the right side. The report format lists liabilities and stockholders’ equity directly below assets on the same page.</w:t>
      </w:r>
    </w:p>
    <w:p w:rsidR="00E33436" w:rsidRDefault="00E33436" w:rsidP="00E33436"/>
    <w:p w:rsidR="00E33436" w:rsidRDefault="00E33436" w:rsidP="00E33436">
      <w:r>
        <w:rPr>
          <w:b/>
          <w:u w:val="single"/>
        </w:rPr>
        <w:t>Statement of Cash Flows</w:t>
      </w:r>
    </w:p>
    <w:p w:rsidR="00E33436" w:rsidRDefault="00E33436" w:rsidP="00E33436"/>
    <w:p w:rsidR="00E33436" w:rsidRDefault="00E33436" w:rsidP="00E33436">
      <w:pPr>
        <w:pStyle w:val="Review"/>
      </w:pPr>
      <w:r>
        <w:tab/>
        <w:t>18.</w:t>
      </w:r>
      <w:r>
        <w:tab/>
        <w:t xml:space="preserve">The primary purpose of a statement of cash flows is to provide relevant information about the cash receipts and cash payments of an enterprise during a period. The balance sheet, income statement, and retained earnings statement do not provide a convenient source of information on cash flows. Thus, in an attempt to provide a vehicle to help achieve this objective, the Financial Accounting Standards Board requires the presentation of the </w:t>
      </w:r>
      <w:r>
        <w:rPr>
          <w:b/>
        </w:rPr>
        <w:t xml:space="preserve">Statement of Cash Flows </w:t>
      </w:r>
      <w:r>
        <w:t>as a basic financial statement.</w:t>
      </w:r>
    </w:p>
    <w:p w:rsidR="00E33436" w:rsidRDefault="00E33436" w:rsidP="00E33436">
      <w:pPr>
        <w:pStyle w:val="Review"/>
      </w:pPr>
      <w:r>
        <w:tab/>
        <w:t>19.</w:t>
      </w:r>
      <w:r>
        <w:tab/>
        <w:t>In accomplishing its purpose, the statement focuses attention on three different activities related to cash flows.</w:t>
      </w:r>
    </w:p>
    <w:p w:rsidR="00E33436" w:rsidRDefault="00E33436" w:rsidP="00E33436">
      <w:pPr>
        <w:pStyle w:val="Footer"/>
        <w:tabs>
          <w:tab w:val="clear" w:pos="4320"/>
          <w:tab w:val="clear" w:pos="8640"/>
        </w:tabs>
        <w:spacing w:line="240" w:lineRule="exact"/>
      </w:pPr>
    </w:p>
    <w:p w:rsidR="00E33436" w:rsidRDefault="00E33436" w:rsidP="00E33436">
      <w:pPr>
        <w:pStyle w:val="Review2"/>
      </w:pPr>
      <w:r>
        <w:tab/>
        <w:t>a.</w:t>
      </w:r>
      <w:r>
        <w:tab/>
      </w:r>
      <w:r>
        <w:rPr>
          <w:b/>
          <w:spacing w:val="-4"/>
        </w:rPr>
        <w:t xml:space="preserve">Operating activities </w:t>
      </w:r>
      <w:r>
        <w:rPr>
          <w:spacing w:val="-4"/>
        </w:rPr>
        <w:t>involve the cash effects of transactions that enter into determination of net income.</w:t>
      </w:r>
    </w:p>
    <w:p w:rsidR="00E33436" w:rsidRDefault="00E33436" w:rsidP="00E33436">
      <w:pPr>
        <w:pStyle w:val="Review2"/>
        <w:overflowPunct/>
        <w:autoSpaceDE/>
        <w:autoSpaceDN/>
        <w:adjustRightInd/>
        <w:spacing w:line="240" w:lineRule="exact"/>
        <w:ind w:left="0" w:firstLine="0"/>
        <w:jc w:val="left"/>
      </w:pPr>
    </w:p>
    <w:p w:rsidR="00E33436" w:rsidRDefault="00E33436" w:rsidP="00E33436">
      <w:pPr>
        <w:pStyle w:val="Review2"/>
      </w:pPr>
      <w:r>
        <w:tab/>
        <w:t>b.</w:t>
      </w:r>
      <w:r>
        <w:tab/>
      </w:r>
      <w:r>
        <w:rPr>
          <w:b/>
        </w:rPr>
        <w:t xml:space="preserve">Investing activities </w:t>
      </w:r>
      <w:r>
        <w:t>include making and collecting loans and acquiring and disposing of debt and equity investments and property, plant, and equipment.</w:t>
      </w:r>
    </w:p>
    <w:p w:rsidR="00E33436" w:rsidRDefault="00E33436" w:rsidP="00E33436">
      <w:pPr>
        <w:pStyle w:val="Review2"/>
        <w:overflowPunct/>
        <w:autoSpaceDE/>
        <w:autoSpaceDN/>
        <w:adjustRightInd/>
        <w:spacing w:line="240" w:lineRule="exact"/>
        <w:ind w:left="0" w:firstLine="0"/>
        <w:jc w:val="left"/>
      </w:pPr>
    </w:p>
    <w:p w:rsidR="00E33436" w:rsidRDefault="00E33436" w:rsidP="00E33436">
      <w:pPr>
        <w:pStyle w:val="Review2"/>
      </w:pPr>
      <w:r>
        <w:tab/>
        <w:t>c.</w:t>
      </w:r>
      <w:r>
        <w:tab/>
      </w:r>
      <w:r>
        <w:rPr>
          <w:b/>
          <w:spacing w:val="-2"/>
        </w:rPr>
        <w:t xml:space="preserve">Financing activities </w:t>
      </w:r>
      <w:r>
        <w:rPr>
          <w:spacing w:val="-2"/>
        </w:rPr>
        <w:t xml:space="preserve">involve liability and owners’ equity items and include (1) obtaining resources from owners and providing them with return on their investment and </w:t>
      </w:r>
      <w:r>
        <w:rPr>
          <w:spacing w:val="-2"/>
        </w:rPr>
        <w:br/>
        <w:t>(2) borrowing money from creditors and repaying the amounts borrowed.</w:t>
      </w:r>
    </w:p>
    <w:p w:rsidR="00E33436" w:rsidRDefault="00E33436" w:rsidP="00E33436">
      <w:pPr>
        <w:pStyle w:val="Review"/>
        <w:spacing w:line="240" w:lineRule="exact"/>
        <w:ind w:left="0" w:firstLine="0"/>
        <w:jc w:val="left"/>
      </w:pPr>
    </w:p>
    <w:p w:rsidR="00E33436" w:rsidRDefault="00E33436" w:rsidP="00E33436">
      <w:pPr>
        <w:pStyle w:val="Review"/>
      </w:pPr>
      <w:r>
        <w:tab/>
      </w:r>
      <w:r>
        <w:tab/>
        <w:t>The basic format of the statement of cash flows is shown below.</w:t>
      </w:r>
    </w:p>
    <w:p w:rsidR="00E33436" w:rsidRDefault="00E33436" w:rsidP="00E33436">
      <w:pPr>
        <w:pStyle w:val="Footer"/>
        <w:tabs>
          <w:tab w:val="clear" w:pos="4320"/>
          <w:tab w:val="clear" w:pos="8640"/>
        </w:tabs>
        <w:spacing w:line="240" w:lineRule="exact"/>
      </w:pPr>
    </w:p>
    <w:p w:rsidR="00E33436" w:rsidRDefault="00E33436" w:rsidP="00E33436">
      <w:pPr>
        <w:tabs>
          <w:tab w:val="center" w:pos="4320"/>
        </w:tabs>
      </w:pPr>
      <w:r>
        <w:tab/>
      </w:r>
      <w:r>
        <w:rPr>
          <w:b/>
        </w:rPr>
        <w:t>Statement of Cash Flows</w:t>
      </w:r>
    </w:p>
    <w:p w:rsidR="00E33436" w:rsidRDefault="00E33436" w:rsidP="00E33436">
      <w:pPr>
        <w:pStyle w:val="Footer"/>
        <w:tabs>
          <w:tab w:val="clear" w:pos="4320"/>
          <w:tab w:val="clear" w:pos="8640"/>
        </w:tabs>
        <w:spacing w:line="240" w:lineRule="exact"/>
      </w:pPr>
    </w:p>
    <w:p w:rsidR="00E33436" w:rsidRDefault="00E33436" w:rsidP="00E33436">
      <w:pPr>
        <w:pStyle w:val="Footer"/>
        <w:tabs>
          <w:tab w:val="clear" w:pos="4320"/>
          <w:tab w:val="clear" w:pos="8640"/>
          <w:tab w:val="left" w:pos="1440"/>
          <w:tab w:val="right" w:leader="dot" w:pos="6480"/>
          <w:tab w:val="right" w:pos="7803"/>
        </w:tabs>
      </w:pPr>
      <w:r>
        <w:tab/>
        <w:t>Cash flows from operating activities</w:t>
      </w:r>
      <w:r>
        <w:tab/>
      </w:r>
      <w:r>
        <w:tab/>
        <w:t>$XXX</w:t>
      </w:r>
    </w:p>
    <w:p w:rsidR="00E33436" w:rsidRDefault="00E33436" w:rsidP="00E33436">
      <w:pPr>
        <w:tabs>
          <w:tab w:val="left" w:pos="1440"/>
          <w:tab w:val="right" w:leader="dot" w:pos="6480"/>
          <w:tab w:val="right" w:pos="7803"/>
        </w:tabs>
      </w:pPr>
      <w:r>
        <w:tab/>
        <w:t>Cash flows from investing activities</w:t>
      </w:r>
      <w:r>
        <w:tab/>
      </w:r>
      <w:r>
        <w:tab/>
        <w:t>XXX</w:t>
      </w:r>
    </w:p>
    <w:p w:rsidR="00E33436" w:rsidRDefault="00E33436" w:rsidP="00E33436">
      <w:pPr>
        <w:tabs>
          <w:tab w:val="left" w:pos="1440"/>
          <w:tab w:val="right" w:leader="dot" w:pos="6480"/>
          <w:tab w:val="right" w:pos="7803"/>
        </w:tabs>
      </w:pPr>
      <w:r>
        <w:tab/>
        <w:t>Cash flows from financing activities</w:t>
      </w:r>
      <w:r>
        <w:tab/>
      </w:r>
      <w:r>
        <w:tab/>
      </w:r>
      <w:r>
        <w:rPr>
          <w:u w:val="single"/>
        </w:rPr>
        <w:t>XXX</w:t>
      </w:r>
    </w:p>
    <w:p w:rsidR="00E33436" w:rsidRDefault="00E33436" w:rsidP="00E33436">
      <w:pPr>
        <w:tabs>
          <w:tab w:val="left" w:pos="1440"/>
          <w:tab w:val="right" w:leader="dot" w:pos="6480"/>
          <w:tab w:val="right" w:pos="7803"/>
        </w:tabs>
      </w:pPr>
      <w:r>
        <w:tab/>
        <w:t>Net increase (decrease) in cash</w:t>
      </w:r>
      <w:r>
        <w:tab/>
      </w:r>
      <w:r>
        <w:tab/>
        <w:t>XXX</w:t>
      </w:r>
    </w:p>
    <w:p w:rsidR="00E33436" w:rsidRDefault="00E33436" w:rsidP="00E33436">
      <w:pPr>
        <w:tabs>
          <w:tab w:val="left" w:pos="1440"/>
          <w:tab w:val="right" w:leader="dot" w:pos="6480"/>
          <w:tab w:val="right" w:pos="7803"/>
        </w:tabs>
      </w:pPr>
      <w:r>
        <w:tab/>
        <w:t>Cash at beginning of year</w:t>
      </w:r>
      <w:r>
        <w:tab/>
      </w:r>
      <w:r>
        <w:tab/>
      </w:r>
      <w:r>
        <w:rPr>
          <w:u w:val="single"/>
        </w:rPr>
        <w:t xml:space="preserve">  XXX</w:t>
      </w:r>
    </w:p>
    <w:p w:rsidR="00E33436" w:rsidRDefault="00E33436" w:rsidP="00E33436">
      <w:pPr>
        <w:tabs>
          <w:tab w:val="left" w:pos="1440"/>
          <w:tab w:val="right" w:leader="dot" w:pos="6480"/>
          <w:tab w:val="right" w:pos="7803"/>
        </w:tabs>
      </w:pPr>
      <w:r>
        <w:tab/>
        <w:t>Cash at end of year</w:t>
      </w:r>
      <w:r>
        <w:tab/>
      </w:r>
      <w:r>
        <w:tab/>
      </w:r>
      <w:r>
        <w:rPr>
          <w:u w:val="double"/>
        </w:rPr>
        <w:t>$XXX</w:t>
      </w:r>
    </w:p>
    <w:p w:rsidR="00E33436" w:rsidRDefault="00E33436" w:rsidP="00E33436">
      <w:pPr>
        <w:pStyle w:val="Footer"/>
        <w:tabs>
          <w:tab w:val="clear" w:pos="4320"/>
          <w:tab w:val="clear" w:pos="8640"/>
        </w:tabs>
        <w:spacing w:line="240" w:lineRule="exact"/>
      </w:pPr>
    </w:p>
    <w:p w:rsidR="00E33436" w:rsidRDefault="00E33436" w:rsidP="00E33436">
      <w:pPr>
        <w:pStyle w:val="Review"/>
      </w:pPr>
      <w:r>
        <w:tab/>
        <w:t>20.</w:t>
      </w:r>
      <w:r>
        <w:tab/>
      </w:r>
      <w:r>
        <w:rPr>
          <w:spacing w:val="-2"/>
        </w:rPr>
        <w:t>The information to prepare the statement of cash flows comes from three sources: (a) comparative balance sheets, (b) the current income statement, and (c) selected transaction data. Preparation of the statement of cash flows involves the following steps.</w:t>
      </w:r>
    </w:p>
    <w:p w:rsidR="00E33436" w:rsidRDefault="00E33436" w:rsidP="00E33436">
      <w:pPr>
        <w:pStyle w:val="Review2"/>
        <w:overflowPunct/>
        <w:autoSpaceDE/>
        <w:autoSpaceDN/>
        <w:adjustRightInd/>
        <w:spacing w:line="240" w:lineRule="exact"/>
        <w:ind w:left="0" w:firstLine="0"/>
        <w:jc w:val="left"/>
      </w:pPr>
    </w:p>
    <w:p w:rsidR="00E33436" w:rsidRDefault="00E33436" w:rsidP="00E33436">
      <w:pPr>
        <w:pStyle w:val="Review2"/>
      </w:pPr>
      <w:r>
        <w:tab/>
        <w:t>a.</w:t>
      </w:r>
      <w:r>
        <w:tab/>
        <w:t>Determine the cash provided by operations.</w:t>
      </w:r>
    </w:p>
    <w:p w:rsidR="00E33436" w:rsidRDefault="00E33436" w:rsidP="00E33436">
      <w:pPr>
        <w:pStyle w:val="Review2"/>
        <w:overflowPunct/>
        <w:autoSpaceDE/>
        <w:autoSpaceDN/>
        <w:adjustRightInd/>
        <w:spacing w:line="240" w:lineRule="exact"/>
        <w:ind w:left="0" w:firstLine="0"/>
        <w:jc w:val="left"/>
      </w:pPr>
    </w:p>
    <w:p w:rsidR="00E33436" w:rsidRDefault="00E33436" w:rsidP="00E33436">
      <w:pPr>
        <w:pStyle w:val="Review2"/>
      </w:pPr>
      <w:r>
        <w:tab/>
      </w:r>
      <w:proofErr w:type="gramStart"/>
      <w:r>
        <w:t>b</w:t>
      </w:r>
      <w:proofErr w:type="gramEnd"/>
      <w:r>
        <w:t>.</w:t>
      </w:r>
      <w:r>
        <w:tab/>
        <w:t>Determine the cash provided by or used in investing and financing activities.</w:t>
      </w:r>
    </w:p>
    <w:p w:rsidR="00E33436" w:rsidRDefault="00E33436" w:rsidP="00E33436">
      <w:pPr>
        <w:pStyle w:val="Review2"/>
        <w:overflowPunct/>
        <w:autoSpaceDE/>
        <w:autoSpaceDN/>
        <w:adjustRightInd/>
        <w:spacing w:line="240" w:lineRule="exact"/>
        <w:ind w:left="0" w:firstLine="0"/>
        <w:jc w:val="left"/>
      </w:pPr>
    </w:p>
    <w:p w:rsidR="00E33436" w:rsidRDefault="00E33436" w:rsidP="00E33436">
      <w:pPr>
        <w:pStyle w:val="Review2"/>
      </w:pPr>
      <w:r>
        <w:tab/>
        <w:t>c.</w:t>
      </w:r>
      <w:r>
        <w:tab/>
        <w:t>Determine the change (increase or decrease) in cash during the period.</w:t>
      </w:r>
    </w:p>
    <w:p w:rsidR="00E33436" w:rsidRDefault="00E33436" w:rsidP="00E33436">
      <w:pPr>
        <w:pStyle w:val="Review2"/>
        <w:overflowPunct/>
        <w:autoSpaceDE/>
        <w:autoSpaceDN/>
        <w:adjustRightInd/>
        <w:spacing w:line="240" w:lineRule="exact"/>
        <w:ind w:left="0" w:firstLine="0"/>
        <w:jc w:val="left"/>
      </w:pPr>
    </w:p>
    <w:p w:rsidR="00E33436" w:rsidRDefault="00E33436" w:rsidP="00E33436">
      <w:pPr>
        <w:pStyle w:val="Review2"/>
      </w:pPr>
      <w:r>
        <w:tab/>
        <w:t>d.</w:t>
      </w:r>
      <w:r>
        <w:tab/>
        <w:t>Reconcile the change in cash with the beginning and the ending cash balances.</w:t>
      </w:r>
    </w:p>
    <w:p w:rsidR="00E33436" w:rsidRDefault="00E33436" w:rsidP="00E33436">
      <w:pPr>
        <w:pStyle w:val="Footer"/>
        <w:tabs>
          <w:tab w:val="clear" w:pos="4320"/>
          <w:tab w:val="clear" w:pos="8640"/>
        </w:tabs>
        <w:spacing w:line="240" w:lineRule="exact"/>
      </w:pPr>
    </w:p>
    <w:p w:rsidR="00E33436" w:rsidRDefault="00E33436" w:rsidP="00E33436">
      <w:pPr>
        <w:pStyle w:val="Review"/>
      </w:pPr>
      <w:r>
        <w:tab/>
      </w:r>
      <w:r>
        <w:tab/>
        <w:t xml:space="preserve">The information included in this chapter on the preparation of the statement of cash flows </w:t>
      </w:r>
      <w:r>
        <w:rPr>
          <w:spacing w:val="-3"/>
        </w:rPr>
        <w:t xml:space="preserve">provides a basic introduction to the concepts involved. A complete and detailed presentation </w:t>
      </w:r>
      <w:r>
        <w:t>of the statement of cash flows is found in Chapter 23 of the text.</w:t>
      </w:r>
    </w:p>
    <w:p w:rsidR="00E33436" w:rsidRDefault="00E33436" w:rsidP="00E33436">
      <w:pPr>
        <w:pStyle w:val="Footer"/>
        <w:tabs>
          <w:tab w:val="clear" w:pos="4320"/>
          <w:tab w:val="clear" w:pos="8640"/>
        </w:tabs>
        <w:spacing w:line="240" w:lineRule="exact"/>
      </w:pPr>
    </w:p>
    <w:p w:rsidR="00E33436" w:rsidRDefault="00E33436" w:rsidP="00E33436">
      <w:pPr>
        <w:rPr>
          <w:b/>
          <w:u w:val="single"/>
        </w:rPr>
      </w:pPr>
      <w:r>
        <w:rPr>
          <w:b/>
          <w:u w:val="single"/>
        </w:rPr>
        <w:t>Usefulness of the Statement of Cash Flows</w:t>
      </w:r>
    </w:p>
    <w:p w:rsidR="00E33436" w:rsidRDefault="00E33436" w:rsidP="00E33436">
      <w:pPr>
        <w:pStyle w:val="Footer"/>
        <w:tabs>
          <w:tab w:val="clear" w:pos="4320"/>
          <w:tab w:val="clear" w:pos="8640"/>
        </w:tabs>
        <w:spacing w:line="240" w:lineRule="exact"/>
      </w:pPr>
    </w:p>
    <w:p w:rsidR="00E33436" w:rsidRDefault="00E33436" w:rsidP="00E33436">
      <w:pPr>
        <w:pStyle w:val="Review"/>
      </w:pPr>
      <w:r>
        <w:tab/>
        <w:t>21.</w:t>
      </w:r>
      <w:r>
        <w:tab/>
        <w:t>Creditors look for answers to the following questions in the company’s cash flow statement:</w:t>
      </w:r>
    </w:p>
    <w:p w:rsidR="00E33436" w:rsidRDefault="00E33436" w:rsidP="00E33436">
      <w:pPr>
        <w:pStyle w:val="Footer"/>
        <w:tabs>
          <w:tab w:val="clear" w:pos="4320"/>
          <w:tab w:val="clear" w:pos="8640"/>
        </w:tabs>
        <w:spacing w:line="240" w:lineRule="exact"/>
      </w:pPr>
    </w:p>
    <w:p w:rsidR="00E33436" w:rsidRDefault="00E33436" w:rsidP="00E33436">
      <w:pPr>
        <w:pStyle w:val="Review2"/>
      </w:pPr>
      <w:r>
        <w:tab/>
        <w:t>a.</w:t>
      </w:r>
      <w:r>
        <w:tab/>
      </w:r>
      <w:r>
        <w:rPr>
          <w:spacing w:val="-2"/>
        </w:rPr>
        <w:t>How successful is the company in generating net cash provided by operating activities?</w:t>
      </w:r>
    </w:p>
    <w:p w:rsidR="00E33436" w:rsidRDefault="00E33436" w:rsidP="00E33436">
      <w:pPr>
        <w:pStyle w:val="Review2"/>
        <w:overflowPunct/>
        <w:autoSpaceDE/>
        <w:autoSpaceDN/>
        <w:adjustRightInd/>
        <w:spacing w:line="240" w:lineRule="exact"/>
        <w:ind w:left="0" w:firstLine="0"/>
        <w:jc w:val="left"/>
      </w:pPr>
    </w:p>
    <w:p w:rsidR="00E33436" w:rsidRDefault="00E33436" w:rsidP="00E33436">
      <w:pPr>
        <w:pStyle w:val="Review2"/>
      </w:pPr>
      <w:r>
        <w:tab/>
        <w:t>b.</w:t>
      </w:r>
      <w:r>
        <w:tab/>
        <w:t>What are the trends in net cash flow provided by operating activities over time?</w:t>
      </w:r>
    </w:p>
    <w:p w:rsidR="00E33436" w:rsidRDefault="00E33436" w:rsidP="00E33436">
      <w:pPr>
        <w:pStyle w:val="Review2"/>
        <w:overflowPunct/>
        <w:autoSpaceDE/>
        <w:autoSpaceDN/>
        <w:adjustRightInd/>
        <w:spacing w:line="240" w:lineRule="exact"/>
        <w:ind w:left="0" w:firstLine="0"/>
        <w:jc w:val="left"/>
      </w:pPr>
    </w:p>
    <w:p w:rsidR="00E33436" w:rsidRDefault="00E33436" w:rsidP="00E33436">
      <w:pPr>
        <w:pStyle w:val="Review2"/>
      </w:pPr>
      <w:r>
        <w:tab/>
        <w:t>c.</w:t>
      </w:r>
      <w:r>
        <w:tab/>
      </w:r>
      <w:r>
        <w:rPr>
          <w:spacing w:val="-2"/>
        </w:rPr>
        <w:t>What are the major reasons for the positive or negative net cash provided by operating activities?</w:t>
      </w:r>
    </w:p>
    <w:p w:rsidR="00E33436" w:rsidRDefault="00E33436" w:rsidP="00E33436">
      <w:pPr>
        <w:rPr>
          <w:b/>
          <w:u w:val="single"/>
        </w:rPr>
      </w:pPr>
    </w:p>
    <w:p w:rsidR="00E33436" w:rsidRDefault="00E33436" w:rsidP="00E33436">
      <w:r>
        <w:rPr>
          <w:b/>
          <w:u w:val="single"/>
        </w:rPr>
        <w:t>Financial Liquidity</w:t>
      </w:r>
    </w:p>
    <w:p w:rsidR="00E33436" w:rsidRDefault="00E33436" w:rsidP="00E33436"/>
    <w:p w:rsidR="00E33436" w:rsidRDefault="00E33436" w:rsidP="00E33436">
      <w:pPr>
        <w:pStyle w:val="Review"/>
      </w:pPr>
      <w:r>
        <w:tab/>
        <w:t>22.</w:t>
      </w:r>
      <w:r>
        <w:tab/>
        <w:t xml:space="preserve">The </w:t>
      </w:r>
      <w:r>
        <w:rPr>
          <w:b/>
        </w:rPr>
        <w:t>current cash debt coverage ratio</w:t>
      </w:r>
      <w:r>
        <w:t xml:space="preserve"> is:</w:t>
      </w:r>
    </w:p>
    <w:p w:rsidR="00E33436" w:rsidRDefault="00E33436" w:rsidP="00E33436">
      <w:r>
        <w:rPr>
          <w:noProof/>
        </w:rPr>
        <mc:AlternateContent>
          <mc:Choice Requires="wpg">
            <w:drawing>
              <wp:anchor distT="0" distB="0" distL="114300" distR="114300" simplePos="0" relativeHeight="251659264" behindDoc="0" locked="0" layoutInCell="1" allowOverlap="1">
                <wp:simplePos x="0" y="0"/>
                <wp:positionH relativeFrom="column">
                  <wp:posOffset>394335</wp:posOffset>
                </wp:positionH>
                <wp:positionV relativeFrom="paragraph">
                  <wp:posOffset>167640</wp:posOffset>
                </wp:positionV>
                <wp:extent cx="5715000" cy="571500"/>
                <wp:effectExtent l="3810" t="635"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571500"/>
                          <a:chOff x="981" y="2164"/>
                          <a:chExt cx="9000" cy="900"/>
                        </a:xfrm>
                      </wpg:grpSpPr>
                      <wps:wsp>
                        <wps:cNvPr id="14" name="Rectangle 3"/>
                        <wps:cNvSpPr>
                          <a:spLocks noChangeArrowheads="1"/>
                        </wps:cNvSpPr>
                        <wps:spPr bwMode="auto">
                          <a:xfrm>
                            <a:off x="981" y="2164"/>
                            <a:ext cx="2600" cy="78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Net Cash Provided</w:t>
                              </w:r>
                            </w:p>
                            <w:p w:rsidR="00E33436" w:rsidRDefault="00E33436" w:rsidP="00E33436">
                              <w:pPr>
                                <w:jc w:val="center"/>
                              </w:pPr>
                              <w:proofErr w:type="gramStart"/>
                              <w:r>
                                <w:t>by</w:t>
                              </w:r>
                              <w:proofErr w:type="gramEnd"/>
                              <w:r>
                                <w:t xml:space="preserve"> Operating Activities</w:t>
                              </w:r>
                            </w:p>
                          </w:txbxContent>
                        </wps:txbx>
                        <wps:bodyPr rot="0" vert="horz" wrap="square" lIns="0" tIns="0" rIns="0" bIns="0" anchor="t" anchorCtr="0" upright="1">
                          <a:noAutofit/>
                        </wps:bodyPr>
                      </wps:wsp>
                      <wps:wsp>
                        <wps:cNvPr id="15" name="Rectangle 4"/>
                        <wps:cNvSpPr>
                          <a:spLocks noChangeArrowheads="1"/>
                        </wps:cNvSpPr>
                        <wps:spPr bwMode="auto">
                          <a:xfrm>
                            <a:off x="4581" y="2164"/>
                            <a:ext cx="1980" cy="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Average Current</w:t>
                              </w:r>
                            </w:p>
                            <w:p w:rsidR="00E33436" w:rsidRDefault="00E33436" w:rsidP="00E33436">
                              <w:pPr>
                                <w:jc w:val="center"/>
                              </w:pPr>
                              <w:r>
                                <w:t>Liabilities</w:t>
                              </w:r>
                            </w:p>
                          </w:txbxContent>
                        </wps:txbx>
                        <wps:bodyPr rot="0" vert="horz" wrap="square" lIns="0" tIns="0" rIns="0" bIns="0" anchor="t" anchorCtr="0" upright="1">
                          <a:noAutofit/>
                        </wps:bodyPr>
                      </wps:wsp>
                      <wps:wsp>
                        <wps:cNvPr id="16" name="Rectangle 5"/>
                        <wps:cNvSpPr>
                          <a:spLocks noChangeArrowheads="1"/>
                        </wps:cNvSpPr>
                        <wps:spPr bwMode="auto">
                          <a:xfrm>
                            <a:off x="7641" y="2164"/>
                            <a:ext cx="2340" cy="78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Current Cash Debt</w:t>
                              </w:r>
                            </w:p>
                            <w:p w:rsidR="00E33436" w:rsidRDefault="00E33436" w:rsidP="00E33436">
                              <w:pPr>
                                <w:jc w:val="center"/>
                              </w:pPr>
                              <w:r>
                                <w:t>Coverage Ratio</w:t>
                              </w:r>
                            </w:p>
                          </w:txbxContent>
                        </wps:txbx>
                        <wps:bodyPr rot="0" vert="horz" wrap="square" lIns="0" tIns="0" rIns="0" bIns="0" anchor="t" anchorCtr="0" upright="1">
                          <a:noAutofit/>
                        </wps:bodyPr>
                      </wps:wsp>
                      <wps:wsp>
                        <wps:cNvPr id="17" name="Rectangle 6"/>
                        <wps:cNvSpPr>
                          <a:spLocks noChangeArrowheads="1"/>
                        </wps:cNvSpPr>
                        <wps:spPr bwMode="auto">
                          <a:xfrm>
                            <a:off x="3861" y="2344"/>
                            <a:ext cx="460" cy="34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w:t>
                              </w:r>
                            </w:p>
                          </w:txbxContent>
                        </wps:txbx>
                        <wps:bodyPr rot="0" vert="horz" wrap="square" lIns="0" tIns="0" rIns="0" bIns="0" anchor="t" anchorCtr="0" upright="1">
                          <a:noAutofit/>
                        </wps:bodyPr>
                      </wps:wsp>
                      <wps:wsp>
                        <wps:cNvPr id="18" name="Rectangle 7"/>
                        <wps:cNvSpPr>
                          <a:spLocks noChangeArrowheads="1"/>
                        </wps:cNvSpPr>
                        <wps:spPr bwMode="auto">
                          <a:xfrm>
                            <a:off x="6921" y="2344"/>
                            <a:ext cx="460" cy="34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31.05pt;margin-top:13.2pt;width:450pt;height:45pt;z-index:251659264" coordorigin="981,2164" coordsize="90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">
                <v:rect id="Rectangle 3" o:spid="_x0000_s1027" style="position:absolute;left:981;top:2164;width:260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69bb8A&#10;AADbAAAADwAAAGRycy9kb3ducmV2LnhtbERPTYvCMBC9L/gfwgje1lQRV7pGEUGsN7Vlz0MzNtVm&#10;Upqo9d9vFoS9zeN9znLd20Y8qPO1YwWTcQKCuHS65kpBke8+FyB8QNbYOCYFL/KwXg0+lphq9+QT&#10;Pc6hEjGEfYoKTAhtKqUvDVn0Y9cSR+7iOoshwq6SusNnDLeNnCbJXFqsOTYYbGlrqLyd71bB18bl&#10;P9PskB3N8YLzYnHd74pcqdGw33yDCNSHf/Hbnek4fwZ/v8QD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Lr1tvwAAANsAAAAPAAAAAAAAAAAAAAAAAJgCAABkcnMvZG93bnJl&#10;di54bWxQSwUGAAAAAAQABAD1AAAAhAMAAAAA&#10;" stroked="f" strokeweight="0">
                  <v:textbox inset="0,0,0,0">
                    <w:txbxContent>
                      <w:p w:rsidR="00E33436" w:rsidRDefault="00E33436" w:rsidP="00E33436">
                        <w:pPr>
                          <w:jc w:val="center"/>
                        </w:pPr>
                        <w:r>
                          <w:t>Net Cash Provided</w:t>
                        </w:r>
                      </w:p>
                      <w:p w:rsidR="00E33436" w:rsidRDefault="00E33436" w:rsidP="00E33436">
                        <w:pPr>
                          <w:jc w:val="center"/>
                        </w:pPr>
                        <w:proofErr w:type="gramStart"/>
                        <w:r>
                          <w:t>by</w:t>
                        </w:r>
                        <w:proofErr w:type="gramEnd"/>
                        <w:r>
                          <w:t xml:space="preserve"> Operating Activities</w:t>
                        </w:r>
                      </w:p>
                    </w:txbxContent>
                  </v:textbox>
                </v:rect>
                <v:rect id="Rectangle 4" o:spid="_x0000_s1028" style="position:absolute;left:4581;top:2164;width:198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IY9r8A&#10;AADbAAAADwAAAGRycy9kb3ducmV2LnhtbERPTYvCMBC9L/gfwgje1lRBV7pGEUGsN7Vlz0MzNtVm&#10;Upqo9d9vFoS9zeN9znLd20Y8qPO1YwWTcQKCuHS65kpBke8+FyB8QNbYOCYFL/KwXg0+lphq9+QT&#10;Pc6hEjGEfYoKTAhtKqUvDVn0Y9cSR+7iOoshwq6SusNnDLeNnCbJXFqsOTYYbGlrqLyd71bB18bl&#10;P9PskB3N8YLzYnHd74pcqdGw33yDCNSHf/Hbnek4fwZ/v8QD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Yhj2vwAAANsAAAAPAAAAAAAAAAAAAAAAAJgCAABkcnMvZG93bnJl&#10;di54bWxQSwUGAAAAAAQABAD1AAAAhAMAAAAA&#10;" stroked="f" strokeweight="0">
                  <v:textbox inset="0,0,0,0">
                    <w:txbxContent>
                      <w:p w:rsidR="00E33436" w:rsidRDefault="00E33436" w:rsidP="00E33436">
                        <w:pPr>
                          <w:jc w:val="center"/>
                        </w:pPr>
                        <w:r>
                          <w:t>Average Current</w:t>
                        </w:r>
                      </w:p>
                      <w:p w:rsidR="00E33436" w:rsidRDefault="00E33436" w:rsidP="00E33436">
                        <w:pPr>
                          <w:jc w:val="center"/>
                        </w:pPr>
                        <w:r>
                          <w:t>Liabilities</w:t>
                        </w:r>
                      </w:p>
                    </w:txbxContent>
                  </v:textbox>
                </v:rect>
                <v:rect id="Rectangle 5" o:spid="_x0000_s1029" style="position:absolute;left:7641;top:2164;width:234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CGgb8A&#10;AADbAAAADwAAAGRycy9kb3ducmV2LnhtbERPTYvCMBC9C/6HMII3TfXQla5RZEGsN9cWz0MzNt1t&#10;JqWJWv+9ERb2No/3OevtYFtxp943jhUs5gkI4srphmsFZbGfrUD4gKyxdUwKnuRhuxmP1php9+Bv&#10;up9DLWII+wwVmBC6TEpfGbLo564jjtzV9RZDhH0tdY+PGG5buUySVFpsODYY7OjLUPV7vlkFHztX&#10;XJb5MT+Z0xXTcvVz2JeFUtPJsPsEEWgI/+I/d67j/BTev8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IaBvwAAANsAAAAPAAAAAAAAAAAAAAAAAJgCAABkcnMvZG93bnJl&#10;di54bWxQSwUGAAAAAAQABAD1AAAAhAMAAAAA&#10;" stroked="f" strokeweight="0">
                  <v:textbox inset="0,0,0,0">
                    <w:txbxContent>
                      <w:p w:rsidR="00E33436" w:rsidRDefault="00E33436" w:rsidP="00E33436">
                        <w:pPr>
                          <w:jc w:val="center"/>
                        </w:pPr>
                        <w:r>
                          <w:t>Current Cash Debt</w:t>
                        </w:r>
                      </w:p>
                      <w:p w:rsidR="00E33436" w:rsidRDefault="00E33436" w:rsidP="00E33436">
                        <w:pPr>
                          <w:jc w:val="center"/>
                        </w:pPr>
                        <w:r>
                          <w:t>Coverage Ratio</w:t>
                        </w:r>
                      </w:p>
                    </w:txbxContent>
                  </v:textbox>
                </v:rect>
                <v:rect id="Rectangle 6" o:spid="_x0000_s1030" style="position:absolute;left:3861;top:2344;width:46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jGr8A&#10;AADbAAAADwAAAGRycy9kb3ducmV2LnhtbERPTYvCMBC9L/gfwgje1lQPKl2jiCDWm2vLnodmbKrN&#10;pDRR6783C4K3ebzPWa5724g7db52rGAyTkAQl07XXCko8t33AoQPyBobx6TgSR7Wq8HXElPtHvxL&#10;91OoRAxhn6ICE0KbSulLQxb92LXEkTu7zmKIsKuk7vARw20jp0kykxZrjg0GW9oaKq+nm1Uw37j8&#10;b5odsqM5nnFWLC77XZErNRr2mx8QgfrwEb/dmY7z5/D/SzxAr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CMavwAAANsAAAAPAAAAAAAAAAAAAAAAAJgCAABkcnMvZG93bnJl&#10;di54bWxQSwUGAAAAAAQABAD1AAAAhAMAAAAA&#10;" stroked="f" strokeweight="0">
                  <v:textbox inset="0,0,0,0">
                    <w:txbxContent>
                      <w:p w:rsidR="00E33436" w:rsidRDefault="00E33436" w:rsidP="00E33436">
                        <w:pPr>
                          <w:jc w:val="center"/>
                        </w:pPr>
                        <w:r>
                          <w:t>÷</w:t>
                        </w:r>
                      </w:p>
                    </w:txbxContent>
                  </v:textbox>
                </v:rect>
                <v:rect id="Rectangle 7" o:spid="_x0000_s1031" style="position:absolute;left:6921;top:2344;width:46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O3aMMA&#10;AADbAAAADwAAAGRycy9kb3ducmV2LnhtbESPQW/CMAyF75P4D5GRdhvpODBUCAhNQutuQCvOVmOa&#10;QuNUTQbdv58PSLvZes/vfV5vR9+pOw2xDWzgfZaBIq6DbbkxUJX7tyWomJAtdoHJwC9F2G4mL2vM&#10;bXjwke6n1CgJ4ZijAZdSn2sda0ce4yz0xKJdwuAxyTo02g74kHDf6XmWLbTHlqXBYU+fjurb6ccb&#10;+NiF8jwvvouDO1xwUS2vX/uqNOZ1Ou5WoBKN6d/8vC6s4Aus/CID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O3aMMAAADbAAAADwAAAAAAAAAAAAAAAACYAgAAZHJzL2Rv&#10;d25yZXYueG1sUEsFBgAAAAAEAAQA9QAAAIgDAAAAAA==&#10;" stroked="f" strokeweight="0">
                  <v:textbox inset="0,0,0,0">
                    <w:txbxContent>
                      <w:p w:rsidR="00E33436" w:rsidRDefault="00E33436" w:rsidP="00E33436">
                        <w:pPr>
                          <w:jc w:val="center"/>
                        </w:pPr>
                        <w:r>
                          <w:t>=</w:t>
                        </w:r>
                      </w:p>
                    </w:txbxContent>
                  </v:textbox>
                </v:rect>
              </v:group>
            </w:pict>
          </mc:Fallback>
        </mc:AlternateContent>
      </w:r>
    </w:p>
    <w:p w:rsidR="00E33436" w:rsidRDefault="00E33436" w:rsidP="00E33436"/>
    <w:p w:rsidR="00E33436" w:rsidRDefault="00E33436" w:rsidP="00E33436"/>
    <w:p w:rsidR="00E33436" w:rsidRDefault="00E33436" w:rsidP="00E33436"/>
    <w:p w:rsidR="00E33436" w:rsidRDefault="00E33436" w:rsidP="00E33436">
      <w:pPr>
        <w:rPr>
          <w:b/>
          <w:u w:val="single"/>
        </w:rPr>
      </w:pPr>
    </w:p>
    <w:p w:rsidR="00E33436" w:rsidRDefault="00E33436" w:rsidP="00E33436">
      <w:pPr>
        <w:rPr>
          <w:b/>
          <w:u w:val="single"/>
        </w:rPr>
      </w:pPr>
    </w:p>
    <w:p w:rsidR="00E33436" w:rsidRDefault="00E33436" w:rsidP="00E33436">
      <w:pPr>
        <w:rPr>
          <w:b/>
          <w:u w:val="single"/>
        </w:rPr>
      </w:pPr>
      <w:r>
        <w:rPr>
          <w:b/>
          <w:u w:val="single"/>
        </w:rPr>
        <w:t>Financial Flexibility</w:t>
      </w:r>
    </w:p>
    <w:p w:rsidR="00E33436" w:rsidRDefault="00E33436" w:rsidP="00E33436"/>
    <w:p w:rsidR="00E33436" w:rsidRDefault="00E33436" w:rsidP="00E33436">
      <w:pPr>
        <w:pStyle w:val="Review"/>
        <w:tabs>
          <w:tab w:val="clear" w:pos="360"/>
          <w:tab w:val="right" w:pos="423"/>
        </w:tabs>
      </w:pPr>
      <w:r>
        <w:tab/>
        <w:t>23.</w:t>
      </w:r>
      <w:r>
        <w:tab/>
        <w:t xml:space="preserve">The </w:t>
      </w:r>
      <w:r>
        <w:rPr>
          <w:b/>
        </w:rPr>
        <w:t>cash debt coverage ratio</w:t>
      </w:r>
      <w:r>
        <w:t xml:space="preserve"> is:</w:t>
      </w:r>
    </w:p>
    <w:p w:rsidR="00E33436" w:rsidRDefault="00E33436" w:rsidP="00E33436">
      <w:r>
        <w:rPr>
          <w:noProof/>
        </w:rPr>
        <mc:AlternateContent>
          <mc:Choice Requires="wpg">
            <w:drawing>
              <wp:anchor distT="0" distB="0" distL="114300" distR="114300" simplePos="0" relativeHeight="251660288" behindDoc="0" locked="0" layoutInCell="1" allowOverlap="1">
                <wp:simplePos x="0" y="0"/>
                <wp:positionH relativeFrom="column">
                  <wp:posOffset>394335</wp:posOffset>
                </wp:positionH>
                <wp:positionV relativeFrom="paragraph">
                  <wp:posOffset>167640</wp:posOffset>
                </wp:positionV>
                <wp:extent cx="5715000" cy="571500"/>
                <wp:effectExtent l="381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571500"/>
                          <a:chOff x="981" y="2164"/>
                          <a:chExt cx="9000" cy="900"/>
                        </a:xfrm>
                      </wpg:grpSpPr>
                      <wps:wsp>
                        <wps:cNvPr id="8" name="Rectangle 9"/>
                        <wps:cNvSpPr>
                          <a:spLocks noChangeArrowheads="1"/>
                        </wps:cNvSpPr>
                        <wps:spPr bwMode="auto">
                          <a:xfrm>
                            <a:off x="981" y="2164"/>
                            <a:ext cx="2600" cy="78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Net Cash Provided</w:t>
                              </w:r>
                            </w:p>
                            <w:p w:rsidR="00E33436" w:rsidRDefault="00E33436" w:rsidP="00E33436">
                              <w:pPr>
                                <w:jc w:val="center"/>
                              </w:pPr>
                              <w:proofErr w:type="gramStart"/>
                              <w:r>
                                <w:t>by</w:t>
                              </w:r>
                              <w:proofErr w:type="gramEnd"/>
                              <w:r>
                                <w:t xml:space="preserve"> Operating Activities</w:t>
                              </w:r>
                            </w:p>
                          </w:txbxContent>
                        </wps:txbx>
                        <wps:bodyPr rot="0" vert="horz" wrap="square" lIns="0" tIns="0" rIns="0" bIns="0" anchor="t" anchorCtr="0" upright="1">
                          <a:noAutofit/>
                        </wps:bodyPr>
                      </wps:wsp>
                      <wps:wsp>
                        <wps:cNvPr id="9" name="Rectangle 10"/>
                        <wps:cNvSpPr>
                          <a:spLocks noChangeArrowheads="1"/>
                        </wps:cNvSpPr>
                        <wps:spPr bwMode="auto">
                          <a:xfrm>
                            <a:off x="4581" y="2164"/>
                            <a:ext cx="1980" cy="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Average Total</w:t>
                              </w:r>
                            </w:p>
                            <w:p w:rsidR="00E33436" w:rsidRDefault="00E33436" w:rsidP="00E33436">
                              <w:pPr>
                                <w:jc w:val="center"/>
                              </w:pPr>
                              <w:r>
                                <w:t>Liabilities</w:t>
                              </w:r>
                            </w:p>
                          </w:txbxContent>
                        </wps:txbx>
                        <wps:bodyPr rot="0" vert="horz" wrap="square" lIns="0" tIns="0" rIns="0" bIns="0" anchor="t" anchorCtr="0" upright="1">
                          <a:noAutofit/>
                        </wps:bodyPr>
                      </wps:wsp>
                      <wps:wsp>
                        <wps:cNvPr id="10" name="Rectangle 11"/>
                        <wps:cNvSpPr>
                          <a:spLocks noChangeArrowheads="1"/>
                        </wps:cNvSpPr>
                        <wps:spPr bwMode="auto">
                          <a:xfrm>
                            <a:off x="7641" y="2164"/>
                            <a:ext cx="2340" cy="78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Cash Debt</w:t>
                              </w:r>
                            </w:p>
                            <w:p w:rsidR="00E33436" w:rsidRDefault="00E33436" w:rsidP="00E33436">
                              <w:pPr>
                                <w:jc w:val="center"/>
                              </w:pPr>
                              <w:r>
                                <w:t>Coverage Ratio</w:t>
                              </w:r>
                            </w:p>
                          </w:txbxContent>
                        </wps:txbx>
                        <wps:bodyPr rot="0" vert="horz" wrap="square" lIns="0" tIns="0" rIns="0" bIns="0" anchor="t" anchorCtr="0" upright="1">
                          <a:noAutofit/>
                        </wps:bodyPr>
                      </wps:wsp>
                      <wps:wsp>
                        <wps:cNvPr id="11" name="Rectangle 12"/>
                        <wps:cNvSpPr>
                          <a:spLocks noChangeArrowheads="1"/>
                        </wps:cNvSpPr>
                        <wps:spPr bwMode="auto">
                          <a:xfrm>
                            <a:off x="3861" y="2344"/>
                            <a:ext cx="460" cy="34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w:t>
                              </w:r>
                            </w:p>
                          </w:txbxContent>
                        </wps:txbx>
                        <wps:bodyPr rot="0" vert="horz" wrap="square" lIns="0" tIns="0" rIns="0" bIns="0" anchor="t" anchorCtr="0" upright="1">
                          <a:noAutofit/>
                        </wps:bodyPr>
                      </wps:wsp>
                      <wps:wsp>
                        <wps:cNvPr id="12" name="Rectangle 13"/>
                        <wps:cNvSpPr>
                          <a:spLocks noChangeArrowheads="1"/>
                        </wps:cNvSpPr>
                        <wps:spPr bwMode="auto">
                          <a:xfrm>
                            <a:off x="6921" y="2344"/>
                            <a:ext cx="460" cy="34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32" style="position:absolute;margin-left:31.05pt;margin-top:13.2pt;width:450pt;height:45pt;z-index:251660288" coordorigin="981,2164" coordsize="90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">
                <v:rect id="Rectangle 9" o:spid="_x0000_s1033" style="position:absolute;left:981;top:2164;width:260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DWfr0A&#10;AADaAAAADwAAAGRycy9kb3ducmV2LnhtbERPTYvCMBC9L/gfwgje1lQPrlSjiCDWm9rieWjGptpM&#10;ShO1/ntzEPb4eN/LdW8b8aTO144VTMYJCOLS6ZorBUW++52D8AFZY+OYFLzJw3o1+Fliqt2LT/Q8&#10;h0rEEPYpKjAhtKmUvjRk0Y9dSxy5q+sshgi7SuoOXzHcNnKaJDNpsebYYLClraHyfn5YBX8bl1+m&#10;2SE7muMVZ8X8tt8VuVKjYb9ZgAjUh3/x151pBXFrvBJvgFx9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DDWfr0AAADaAAAADwAAAAAAAAAAAAAAAACYAgAAZHJzL2Rvd25yZXYu&#10;eG1sUEsFBgAAAAAEAAQA9QAAAIIDAAAAAA==&#10;" stroked="f" strokeweight="0">
                  <v:textbox inset="0,0,0,0">
                    <w:txbxContent>
                      <w:p w:rsidR="00E33436" w:rsidRDefault="00E33436" w:rsidP="00E33436">
                        <w:pPr>
                          <w:jc w:val="center"/>
                        </w:pPr>
                        <w:r>
                          <w:t>Net Cash Provided</w:t>
                        </w:r>
                      </w:p>
                      <w:p w:rsidR="00E33436" w:rsidRDefault="00E33436" w:rsidP="00E33436">
                        <w:pPr>
                          <w:jc w:val="center"/>
                        </w:pPr>
                        <w:proofErr w:type="gramStart"/>
                        <w:r>
                          <w:t>by</w:t>
                        </w:r>
                        <w:proofErr w:type="gramEnd"/>
                        <w:r>
                          <w:t xml:space="preserve"> Operating Activities</w:t>
                        </w:r>
                      </w:p>
                    </w:txbxContent>
                  </v:textbox>
                </v:rect>
                <v:rect id="Rectangle 10" o:spid="_x0000_s1034" style="position:absolute;left:4581;top:2164;width:198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xz5cEA&#10;AADaAAAADwAAAGRycy9kb3ducmV2LnhtbESPQYvCMBSE74L/ITzBm6Z6cN1qFBHEenNt2fOjeTbV&#10;5qU0Ueu/3yws7HGYmW+Y9ba3jXhS52vHCmbTBARx6XTNlYIiP0yWIHxA1tg4JgVv8rDdDAdrTLV7&#10;8Rc9L6ESEcI+RQUmhDaV0peGLPqpa4mjd3WdxRBlV0nd4SvCbSPnSbKQFmuOCwZb2hsq75eHVfCx&#10;c/n3PDtlZ3O+4qJY3o6HIldqPOp3KxCB+vAf/mtnWsEn/F6JN0B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98c+XBAAAA2gAAAA8AAAAAAAAAAAAAAAAAmAIAAGRycy9kb3du&#10;cmV2LnhtbFBLBQYAAAAABAAEAPUAAACGAwAAAAA=&#10;" stroked="f" strokeweight="0">
                  <v:textbox inset="0,0,0,0">
                    <w:txbxContent>
                      <w:p w:rsidR="00E33436" w:rsidRDefault="00E33436" w:rsidP="00E33436">
                        <w:pPr>
                          <w:jc w:val="center"/>
                        </w:pPr>
                        <w:r>
                          <w:t>Average Total</w:t>
                        </w:r>
                      </w:p>
                      <w:p w:rsidR="00E33436" w:rsidRDefault="00E33436" w:rsidP="00E33436">
                        <w:pPr>
                          <w:jc w:val="center"/>
                        </w:pPr>
                        <w:r>
                          <w:t>Liabilities</w:t>
                        </w:r>
                      </w:p>
                    </w:txbxContent>
                  </v:textbox>
                </v:rect>
                <v:rect id="Rectangle 11" o:spid="_x0000_s1035" style="position:absolute;left:7641;top:2164;width:234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W7bsMA&#10;AADbAAAADwAAAGRycy9kb3ducmV2LnhtbESPQW/CMAyF75P4D5GRdhvpODBUCAhNQutuQCvOVmOa&#10;QuNUTQbdv58PSLvZes/vfV5vR9+pOw2xDWzgfZaBIq6DbbkxUJX7tyWomJAtdoHJwC9F2G4mL2vM&#10;bXjwke6n1CgJ4ZijAZdSn2sda0ce4yz0xKJdwuAxyTo02g74kHDf6XmWLbTHlqXBYU+fjurb6ccb&#10;+NiF8jwvvouDO1xwUS2vX/uqNOZ1Ou5WoBKN6d/8vC6s4Au9/CID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W7bsMAAADbAAAADwAAAAAAAAAAAAAAAACYAgAAZHJzL2Rv&#10;d25yZXYueG1sUEsFBgAAAAAEAAQA9QAAAIgDAAAAAA==&#10;" stroked="f" strokeweight="0">
                  <v:textbox inset="0,0,0,0">
                    <w:txbxContent>
                      <w:p w:rsidR="00E33436" w:rsidRDefault="00E33436" w:rsidP="00E33436">
                        <w:pPr>
                          <w:jc w:val="center"/>
                        </w:pPr>
                        <w:r>
                          <w:t>Cash Debt</w:t>
                        </w:r>
                      </w:p>
                      <w:p w:rsidR="00E33436" w:rsidRDefault="00E33436" w:rsidP="00E33436">
                        <w:pPr>
                          <w:jc w:val="center"/>
                        </w:pPr>
                        <w:r>
                          <w:t>Coverage Ratio</w:t>
                        </w:r>
                      </w:p>
                    </w:txbxContent>
                  </v:textbox>
                </v:rect>
                <v:rect id="Rectangle 12" o:spid="_x0000_s1036" style="position:absolute;left:3861;top:2344;width:46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ke9b8A&#10;AADbAAAADwAAAGRycy9kb3ducmV2LnhtbERPTYvCMBC9C/6HMII3TfXgSjWKCGL35trieWjGptpM&#10;SpPV+u+NsLC3ebzPWW9724gHdb52rGA2TUAQl07XXCko8sNkCcIHZI2NY1LwIg/bzXCwxlS7J//Q&#10;4xwqEUPYp6jAhNCmUvrSkEU/dS1x5K6usxgi7CqpO3zGcNvIeZIspMWaY4PBlvaGyvv51yr42rn8&#10;Ms++s5M5XXFRLG/HQ5ErNR71uxWIQH34F/+5Mx3nz+DzSzxAb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WR71vwAAANsAAAAPAAAAAAAAAAAAAAAAAJgCAABkcnMvZG93bnJl&#10;di54bWxQSwUGAAAAAAQABAD1AAAAhAMAAAAA&#10;" stroked="f" strokeweight="0">
                  <v:textbox inset="0,0,0,0">
                    <w:txbxContent>
                      <w:p w:rsidR="00E33436" w:rsidRDefault="00E33436" w:rsidP="00E33436">
                        <w:pPr>
                          <w:jc w:val="center"/>
                        </w:pPr>
                        <w:r>
                          <w:t>÷</w:t>
                        </w:r>
                      </w:p>
                    </w:txbxContent>
                  </v:textbox>
                </v:rect>
                <v:rect id="Rectangle 13" o:spid="_x0000_s1037" style="position:absolute;left:6921;top:2344;width:46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Agr8A&#10;AADbAAAADwAAAGRycy9kb3ducmV2LnhtbERPTYvCMBC9L/gfwgh7W1N7UKlGEUHs3tQWz0MzNtVm&#10;Upqsdv/9ZkHwNo/3OavNYFvxoN43jhVMJwkI4srphmsFZbH/WoDwAVlj65gU/JKHzXr0scJMuyef&#10;6HEOtYgh7DNUYELoMil9Zciin7iOOHJX11sMEfa11D0+Y7htZZokM2mx4dhgsKOdoep+/rEK5ltX&#10;XNL8Oz+a4xVn5eJ22JeFUp/jYbsEEWgIb/HLnes4P4X/X+IBcv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i4CCvwAAANsAAAAPAAAAAAAAAAAAAAAAAJgCAABkcnMvZG93bnJl&#10;di54bWxQSwUGAAAAAAQABAD1AAAAhAMAAAAA&#10;" stroked="f" strokeweight="0">
                  <v:textbox inset="0,0,0,0">
                    <w:txbxContent>
                      <w:p w:rsidR="00E33436" w:rsidRDefault="00E33436" w:rsidP="00E33436">
                        <w:pPr>
                          <w:jc w:val="center"/>
                        </w:pPr>
                        <w:r>
                          <w:t>=</w:t>
                        </w:r>
                      </w:p>
                    </w:txbxContent>
                  </v:textbox>
                </v:rect>
              </v:group>
            </w:pict>
          </mc:Fallback>
        </mc:AlternateContent>
      </w:r>
    </w:p>
    <w:p w:rsidR="00E33436" w:rsidRDefault="00E33436" w:rsidP="00E33436"/>
    <w:p w:rsidR="00E33436" w:rsidRDefault="00E33436" w:rsidP="00E33436"/>
    <w:p w:rsidR="00E33436" w:rsidRDefault="00E33436" w:rsidP="00E33436"/>
    <w:p w:rsidR="00E33436" w:rsidRDefault="00E33436" w:rsidP="00E33436"/>
    <w:p w:rsidR="00E33436" w:rsidRDefault="00E33436" w:rsidP="00E33436"/>
    <w:p w:rsidR="00E33436" w:rsidRDefault="00E33436" w:rsidP="00E33436">
      <w:r>
        <w:rPr>
          <w:b/>
          <w:u w:val="single"/>
        </w:rPr>
        <w:t>Free Cash Flow</w:t>
      </w:r>
    </w:p>
    <w:p w:rsidR="00E33436" w:rsidRDefault="00E33436" w:rsidP="00E33436"/>
    <w:p w:rsidR="00E33436" w:rsidRDefault="00E33436" w:rsidP="00E33436">
      <w:pPr>
        <w:pStyle w:val="Review"/>
        <w:tabs>
          <w:tab w:val="clear" w:pos="360"/>
          <w:tab w:val="right" w:pos="423"/>
        </w:tabs>
      </w:pPr>
      <w:r>
        <w:lastRenderedPageBreak/>
        <w:tab/>
        <w:t>24.</w:t>
      </w:r>
      <w:r>
        <w:tab/>
      </w:r>
      <w:r>
        <w:rPr>
          <w:b/>
        </w:rPr>
        <w:t xml:space="preserve">Free cash flow </w:t>
      </w:r>
      <w:r>
        <w:t>is the amount of discretionary cash flow a company has for purchasing additional investments, retiring its debt, purchasing treasury stock, or simply adding to its liquidity.</w:t>
      </w:r>
    </w:p>
    <w:p w:rsidR="00E33436" w:rsidRDefault="00E33436" w:rsidP="00E33436">
      <w:r>
        <w:rPr>
          <w:noProof/>
        </w:rPr>
        <mc:AlternateContent>
          <mc:Choice Requires="wpg">
            <w:drawing>
              <wp:anchor distT="0" distB="0" distL="114300" distR="114300" simplePos="0" relativeHeight="251661312" behindDoc="0" locked="0" layoutInCell="1" allowOverlap="1">
                <wp:simplePos x="0" y="0"/>
                <wp:positionH relativeFrom="column">
                  <wp:posOffset>394335</wp:posOffset>
                </wp:positionH>
                <wp:positionV relativeFrom="paragraph">
                  <wp:posOffset>167640</wp:posOffset>
                </wp:positionV>
                <wp:extent cx="5715000" cy="546100"/>
                <wp:effectExtent l="3810" t="127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546100"/>
                          <a:chOff x="981" y="6884"/>
                          <a:chExt cx="9000" cy="860"/>
                        </a:xfrm>
                      </wpg:grpSpPr>
                      <wps:wsp>
                        <wps:cNvPr id="2" name="Rectangle 15"/>
                        <wps:cNvSpPr>
                          <a:spLocks noChangeArrowheads="1"/>
                        </wps:cNvSpPr>
                        <wps:spPr bwMode="auto">
                          <a:xfrm>
                            <a:off x="981" y="6884"/>
                            <a:ext cx="2600" cy="78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Net Cash Provided</w:t>
                              </w:r>
                            </w:p>
                            <w:p w:rsidR="00E33436" w:rsidRDefault="00E33436" w:rsidP="00E33436">
                              <w:pPr>
                                <w:jc w:val="center"/>
                              </w:pPr>
                              <w:proofErr w:type="gramStart"/>
                              <w:r>
                                <w:t>by</w:t>
                              </w:r>
                              <w:proofErr w:type="gramEnd"/>
                              <w:r>
                                <w:t xml:space="preserve"> Operating Activities</w:t>
                              </w:r>
                            </w:p>
                          </w:txbxContent>
                        </wps:txbx>
                        <wps:bodyPr rot="0" vert="horz" wrap="square" lIns="0" tIns="0" rIns="0" bIns="0" anchor="t" anchorCtr="0" upright="1">
                          <a:noAutofit/>
                        </wps:bodyPr>
                      </wps:wsp>
                      <wps:wsp>
                        <wps:cNvPr id="3" name="Rectangle 16"/>
                        <wps:cNvSpPr>
                          <a:spLocks noChangeArrowheads="1"/>
                        </wps:cNvSpPr>
                        <wps:spPr bwMode="auto">
                          <a:xfrm>
                            <a:off x="4581" y="6884"/>
                            <a:ext cx="2340" cy="86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ind w:right="-35"/>
                              </w:pPr>
                              <w:r>
                                <w:t xml:space="preserve">Capital Expenditures – Dividends  </w:t>
                              </w:r>
                            </w:p>
                          </w:txbxContent>
                        </wps:txbx>
                        <wps:bodyPr rot="0" vert="horz" wrap="square" lIns="0" tIns="0" rIns="0" bIns="0" anchor="t" anchorCtr="0" upright="1">
                          <a:noAutofit/>
                        </wps:bodyPr>
                      </wps:wsp>
                      <wps:wsp>
                        <wps:cNvPr id="4" name="Rectangle 17"/>
                        <wps:cNvSpPr>
                          <a:spLocks noChangeArrowheads="1"/>
                        </wps:cNvSpPr>
                        <wps:spPr bwMode="auto">
                          <a:xfrm>
                            <a:off x="7641" y="7064"/>
                            <a:ext cx="2340" cy="5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Free Cash Flow</w:t>
                              </w:r>
                            </w:p>
                          </w:txbxContent>
                        </wps:txbx>
                        <wps:bodyPr rot="0" vert="horz" wrap="square" lIns="0" tIns="0" rIns="0" bIns="0" anchor="t" anchorCtr="0" upright="1">
                          <a:noAutofit/>
                        </wps:bodyPr>
                      </wps:wsp>
                      <wps:wsp>
                        <wps:cNvPr id="5" name="Rectangle 18"/>
                        <wps:cNvSpPr>
                          <a:spLocks noChangeArrowheads="1"/>
                        </wps:cNvSpPr>
                        <wps:spPr bwMode="auto">
                          <a:xfrm>
                            <a:off x="3761" y="7064"/>
                            <a:ext cx="460" cy="34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w:t>
                              </w:r>
                            </w:p>
                          </w:txbxContent>
                        </wps:txbx>
                        <wps:bodyPr rot="0" vert="horz" wrap="square" lIns="0" tIns="0" rIns="0" bIns="0" anchor="t" anchorCtr="0" upright="1">
                          <a:noAutofit/>
                        </wps:bodyPr>
                      </wps:wsp>
                      <wps:wsp>
                        <wps:cNvPr id="6" name="Rectangle 19"/>
                        <wps:cNvSpPr>
                          <a:spLocks noChangeArrowheads="1"/>
                        </wps:cNvSpPr>
                        <wps:spPr bwMode="auto">
                          <a:xfrm>
                            <a:off x="7181" y="7064"/>
                            <a:ext cx="460" cy="34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3436" w:rsidRDefault="00E33436" w:rsidP="00E33436">
                              <w:pPr>
                                <w:jc w:val="center"/>
                              </w:pPr>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38" style="position:absolute;margin-left:31.05pt;margin-top:13.2pt;width:450pt;height:43pt;z-index:251661312" coordorigin="981,6884" coordsize="900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">
                <v:rect id="Rectangle 15" o:spid="_x0000_s1039" style="position:absolute;left:981;top:6884;width:260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jhlMEA&#10;AADaAAAADwAAAGRycy9kb3ducmV2LnhtbESPQYvCMBSE7wv+h/CEva2pPahUo4ggdm9qi+dH82yq&#10;zUtpstr995sFweMwM98wq81gW/Gg3jeOFUwnCQjiyumGawVlsf9agPABWWPrmBT8kofNevSxwky7&#10;J5/ocQ61iBD2GSowIXSZlL4yZNFPXEccvavrLYYo+1rqHp8RbluZJslMWmw4LhjsaGeoup9/rIL5&#10;1hWXNP/Oj+Z4xVm5uB32ZaHU53jYLkEEGsI7/GrnWkEK/1fiDZ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Y4ZTBAAAA2gAAAA8AAAAAAAAAAAAAAAAAmAIAAGRycy9kb3du&#10;cmV2LnhtbFBLBQYAAAAABAAEAPUAAACGAwAAAAA=&#10;" stroked="f" strokeweight="0">
                  <v:textbox inset="0,0,0,0">
                    <w:txbxContent>
                      <w:p w:rsidR="00E33436" w:rsidRDefault="00E33436" w:rsidP="00E33436">
                        <w:pPr>
                          <w:jc w:val="center"/>
                        </w:pPr>
                        <w:r>
                          <w:t>Net Cash Provided</w:t>
                        </w:r>
                      </w:p>
                      <w:p w:rsidR="00E33436" w:rsidRDefault="00E33436" w:rsidP="00E33436">
                        <w:pPr>
                          <w:jc w:val="center"/>
                        </w:pPr>
                        <w:proofErr w:type="gramStart"/>
                        <w:r>
                          <w:t>by</w:t>
                        </w:r>
                        <w:proofErr w:type="gramEnd"/>
                        <w:r>
                          <w:t xml:space="preserve"> Operating Activities</w:t>
                        </w:r>
                      </w:p>
                    </w:txbxContent>
                  </v:textbox>
                </v:rect>
                <v:rect id="Rectangle 16" o:spid="_x0000_s1040" style="position:absolute;left:4581;top:6884;width:2340;height: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RED8EA&#10;AADaAAAADwAAAGRycy9kb3ducmV2LnhtbESPQYvCMBSE7wv+h/AEb2uqgitdo4gg1pvasudH82yq&#10;zUtpotZ/v1kQ9jjMzDfMct3bRjyo87VjBZNxAoK4dLrmSkGR7z4XIHxA1tg4JgUv8rBeDT6WmGr3&#10;5BM9zqESEcI+RQUmhDaV0peGLPqxa4mjd3GdxRBlV0nd4TPCbSOnSTKXFmuOCwZb2hoqb+e7VfC1&#10;cfnPNDtkR3O84LxYXPe7IldqNOw33yAC9eE//G5nWsEM/q7EGy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URA/BAAAA2gAAAA8AAAAAAAAAAAAAAAAAmAIAAGRycy9kb3du&#10;cmV2LnhtbFBLBQYAAAAABAAEAPUAAACGAwAAAAA=&#10;" stroked="f" strokeweight="0">
                  <v:textbox inset="0,0,0,0">
                    <w:txbxContent>
                      <w:p w:rsidR="00E33436" w:rsidRDefault="00E33436" w:rsidP="00E33436">
                        <w:pPr>
                          <w:ind w:right="-35"/>
                        </w:pPr>
                        <w:r>
                          <w:t xml:space="preserve">Capital Expenditures – Dividends  </w:t>
                        </w:r>
                      </w:p>
                    </w:txbxContent>
                  </v:textbox>
                </v:rect>
                <v:rect id="Rectangle 17" o:spid="_x0000_s1041" style="position:absolute;left:7641;top:7064;width:2340;height: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3ce8EA&#10;AADaAAAADwAAAGRycy9kb3ducmV2LnhtbESPQYvCMBSE7wv+h/AEb2uqiCtdo4gg1pvasudH82yq&#10;zUtpotZ/v1kQ9jjMzDfMct3bRjyo87VjBZNxAoK4dLrmSkGR7z4XIHxA1tg4JgUv8rBeDT6WmGr3&#10;5BM9zqESEcI+RQUmhDaV0peGLPqxa4mjd3GdxRBlV0nd4TPCbSOnSTKXFmuOCwZb2hoqb+e7VfC1&#10;cfnPNDtkR3O84LxYXPe7IldqNOw33yAC9eE//G5nWsEM/q7EGy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93HvBAAAA2gAAAA8AAAAAAAAAAAAAAAAAmAIAAGRycy9kb3du&#10;cmV2LnhtbFBLBQYAAAAABAAEAPUAAACGAwAAAAA=&#10;" stroked="f" strokeweight="0">
                  <v:textbox inset="0,0,0,0">
                    <w:txbxContent>
                      <w:p w:rsidR="00E33436" w:rsidRDefault="00E33436" w:rsidP="00E33436">
                        <w:pPr>
                          <w:jc w:val="center"/>
                        </w:pPr>
                        <w:r>
                          <w:t>Free Cash Flow</w:t>
                        </w:r>
                      </w:p>
                    </w:txbxContent>
                  </v:textbox>
                </v:rect>
                <v:rect id="Rectangle 18" o:spid="_x0000_s1042" style="position:absolute;left:3761;top:7064;width:46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F54MEA&#10;AADaAAAADwAAAGRycy9kb3ducmV2LnhtbESPQYvCMBSE7wv+h/AEb2uqoCtdo4gg1pvasudH82yq&#10;zUtpotZ/v1kQ9jjMzDfMct3bRjyo87VjBZNxAoK4dLrmSkGR7z4XIHxA1tg4JgUv8rBeDT6WmGr3&#10;5BM9zqESEcI+RQUmhDaV0peGLPqxa4mjd3GdxRBlV0nd4TPCbSOnSTKXFmuOCwZb2hoqb+e7VfC1&#10;cfnPNDtkR3O84LxYXPe7IldqNOw33yAC9eE//G5nWsEM/q7EGy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xeeDBAAAA2gAAAA8AAAAAAAAAAAAAAAAAmAIAAGRycy9kb3du&#10;cmV2LnhtbFBLBQYAAAAABAAEAPUAAACGAwAAAAA=&#10;" stroked="f" strokeweight="0">
                  <v:textbox inset="0,0,0,0">
                    <w:txbxContent>
                      <w:p w:rsidR="00E33436" w:rsidRDefault="00E33436" w:rsidP="00E33436">
                        <w:pPr>
                          <w:jc w:val="center"/>
                        </w:pPr>
                        <w:r>
                          <w:t>–</w:t>
                        </w:r>
                      </w:p>
                    </w:txbxContent>
                  </v:textbox>
                </v:rect>
                <v:rect id="Rectangle 19" o:spid="_x0000_s1043" style="position:absolute;left:7181;top:7064;width:46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Pnl8EA&#10;AADaAAAADwAAAGRycy9kb3ducmV2LnhtbESPQYvCMBSE74L/ITzBm6Z66ErXKLIg1ptri+dH82y6&#10;27yUJmr990ZY2OMwM98w6+1gW3Gn3jeOFSzmCQjiyumGawVlsZ+tQPiArLF1TAqe5GG7GY/WmGn3&#10;4G+6n0MtIoR9hgpMCF0mpa8MWfRz1xFH7+p6iyHKvpa6x0eE21YukySVFhuOCwY7+jJU/Z5vVsHH&#10;zhWXZX7MT+Z0xbRc/Rz2ZaHUdDLsPkEEGsJ/+K+dawUpvK/EGyA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j55fBAAAA2gAAAA8AAAAAAAAAAAAAAAAAmAIAAGRycy9kb3du&#10;cmV2LnhtbFBLBQYAAAAABAAEAPUAAACGAwAAAAA=&#10;" stroked="f" strokeweight="0">
                  <v:textbox inset="0,0,0,0">
                    <w:txbxContent>
                      <w:p w:rsidR="00E33436" w:rsidRDefault="00E33436" w:rsidP="00E33436">
                        <w:pPr>
                          <w:jc w:val="center"/>
                        </w:pPr>
                        <w:r>
                          <w:t>=</w:t>
                        </w:r>
                      </w:p>
                    </w:txbxContent>
                  </v:textbox>
                </v:rect>
              </v:group>
            </w:pict>
          </mc:Fallback>
        </mc:AlternateContent>
      </w:r>
    </w:p>
    <w:p w:rsidR="00E33436" w:rsidRDefault="00E33436" w:rsidP="00E33436"/>
    <w:p w:rsidR="00E33436" w:rsidRDefault="00E33436" w:rsidP="00E33436"/>
    <w:p w:rsidR="00E33436" w:rsidRDefault="00E33436" w:rsidP="00E33436">
      <w:pPr>
        <w:rPr>
          <w:b/>
          <w:u w:val="single"/>
        </w:rPr>
      </w:pPr>
    </w:p>
    <w:p w:rsidR="00E33436" w:rsidRDefault="00E33436" w:rsidP="00E33436">
      <w:pPr>
        <w:spacing w:after="120"/>
        <w:rPr>
          <w:b/>
          <w:u w:val="single"/>
        </w:rPr>
      </w:pPr>
    </w:p>
    <w:p w:rsidR="00E33436" w:rsidRDefault="00E33436" w:rsidP="00E33436">
      <w:r>
        <w:rPr>
          <w:b/>
          <w:u w:val="single"/>
        </w:rPr>
        <w:t>Supplemental Information</w:t>
      </w:r>
    </w:p>
    <w:p w:rsidR="00E33436" w:rsidRDefault="00E33436" w:rsidP="00E33436"/>
    <w:p w:rsidR="00E33436" w:rsidRDefault="00E33436" w:rsidP="00E33436">
      <w:pPr>
        <w:pStyle w:val="Review"/>
      </w:pPr>
      <w:r>
        <w:tab/>
        <w:t>25.</w:t>
      </w:r>
      <w:r>
        <w:tab/>
        <w:t xml:space="preserve">Supplemental information related to </w:t>
      </w:r>
      <w:r>
        <w:rPr>
          <w:b/>
        </w:rPr>
        <w:t>contingencies, accounting policies, con-</w:t>
      </w:r>
      <w:proofErr w:type="spellStart"/>
      <w:r>
        <w:rPr>
          <w:b/>
        </w:rPr>
        <w:t>tractual</w:t>
      </w:r>
      <w:proofErr w:type="spellEnd"/>
      <w:r>
        <w:rPr>
          <w:b/>
        </w:rPr>
        <w:t xml:space="preserve"> situations, and fair values </w:t>
      </w:r>
      <w:r>
        <w:t>provide for elaboration or qualification of items listed in the balance sheet.</w:t>
      </w:r>
    </w:p>
    <w:p w:rsidR="00E33436" w:rsidRDefault="00E33436" w:rsidP="00E33436">
      <w:pPr>
        <w:pStyle w:val="Review"/>
      </w:pPr>
    </w:p>
    <w:p w:rsidR="00E33436" w:rsidRDefault="00E33436" w:rsidP="00E33436">
      <w:pPr>
        <w:pStyle w:val="Review"/>
      </w:pPr>
      <w:r>
        <w:tab/>
        <w:t>26.</w:t>
      </w:r>
      <w:r>
        <w:tab/>
        <w:t xml:space="preserve">A </w:t>
      </w:r>
      <w:r>
        <w:rPr>
          <w:b/>
        </w:rPr>
        <w:t xml:space="preserve">contingency </w:t>
      </w:r>
      <w:r>
        <w:t>is defined as an existing situation involving uncertainty as to possible gain (gain contingency) or loss (loss contingency) that will ultimately be resolved when one or more future events occur or fail to occur. In short, they are uncertain occurrences that may have a material effect on financial position.</w:t>
      </w:r>
    </w:p>
    <w:p w:rsidR="00E33436" w:rsidRDefault="00E33436" w:rsidP="00E33436">
      <w:pPr>
        <w:pStyle w:val="Review"/>
      </w:pPr>
    </w:p>
    <w:p w:rsidR="00E33436" w:rsidRDefault="00E33436" w:rsidP="00E33436">
      <w:pPr>
        <w:pStyle w:val="Review"/>
      </w:pPr>
      <w:r>
        <w:tab/>
        <w:t>27.</w:t>
      </w:r>
      <w:r>
        <w:tab/>
      </w:r>
      <w:r>
        <w:rPr>
          <w:spacing w:val="-2"/>
        </w:rPr>
        <w:t xml:space="preserve">The methods used to value assets and allocate costs vary considerably among balance sheet accounts. To help users of the financial statements understand and evaluate financial statement components and their relationships, these valuation methods are normally disclosed in a separate </w:t>
      </w:r>
      <w:r>
        <w:rPr>
          <w:b/>
          <w:spacing w:val="-2"/>
        </w:rPr>
        <w:t xml:space="preserve">Summary of Significant Accounting Policies </w:t>
      </w:r>
      <w:r>
        <w:rPr>
          <w:spacing w:val="-2"/>
        </w:rPr>
        <w:t xml:space="preserve">preceding the </w:t>
      </w:r>
      <w:r>
        <w:rPr>
          <w:spacing w:val="-5"/>
        </w:rPr>
        <w:t xml:space="preserve">financial statement notes. In addition to contingencies and valuation methods, any contractual </w:t>
      </w:r>
      <w:r>
        <w:rPr>
          <w:spacing w:val="-2"/>
        </w:rPr>
        <w:t>situations</w:t>
      </w:r>
      <w:r>
        <w:rPr>
          <w:b/>
          <w:spacing w:val="-2"/>
        </w:rPr>
        <w:t xml:space="preserve"> </w:t>
      </w:r>
      <w:r>
        <w:rPr>
          <w:spacing w:val="-2"/>
        </w:rPr>
        <w:t>of significance should be disclosed. These items include pension obligations, lease contracts, stock options, etc.</w:t>
      </w:r>
    </w:p>
    <w:p w:rsidR="00E33436" w:rsidRDefault="00E33436" w:rsidP="00E33436"/>
    <w:p w:rsidR="00E33436" w:rsidRDefault="00E33436" w:rsidP="00E33436">
      <w:pPr>
        <w:rPr>
          <w:b/>
          <w:u w:val="single"/>
        </w:rPr>
      </w:pPr>
      <w:r>
        <w:rPr>
          <w:b/>
          <w:u w:val="single"/>
        </w:rPr>
        <w:t>Fair Values</w:t>
      </w:r>
    </w:p>
    <w:p w:rsidR="00E33436" w:rsidRDefault="00E33436" w:rsidP="00E33436"/>
    <w:p w:rsidR="00E33436" w:rsidRDefault="00E33436" w:rsidP="00E33436">
      <w:pPr>
        <w:pStyle w:val="Review"/>
      </w:pPr>
      <w:r>
        <w:tab/>
        <w:t>28.</w:t>
      </w:r>
      <w:r>
        <w:tab/>
        <w:t xml:space="preserve">Financial instruments are defined as cash, an ownership interest, or a contractual right to receive or obligation to deliver cash or another financial instrument. Companies are to </w:t>
      </w:r>
      <w:r>
        <w:rPr>
          <w:spacing w:val="-1"/>
        </w:rPr>
        <w:t xml:space="preserve">follow a fair value hierarchy that provides insight into how to determine fair values. </w:t>
      </w:r>
      <w:r>
        <w:rPr>
          <w:b/>
          <w:spacing w:val="-1"/>
        </w:rPr>
        <w:t>Level 1</w:t>
      </w:r>
      <w:r>
        <w:t xml:space="preserve"> measures (the most reliable) are based on observable inputs, such as market price for identical assets or liabilities. </w:t>
      </w:r>
      <w:r>
        <w:rPr>
          <w:b/>
        </w:rPr>
        <w:t>Level 2</w:t>
      </w:r>
      <w:r>
        <w:t xml:space="preserve"> measures (less reliable) are based on market-based inputs other than those included in Level 1, such as those based on market prices for similar assets or liabilities. </w:t>
      </w:r>
      <w:r>
        <w:rPr>
          <w:b/>
        </w:rPr>
        <w:t>Level 3</w:t>
      </w:r>
      <w:r>
        <w:t xml:space="preserve"> measures (least reliable) are based on unobservable inputs, such as a company’s own data or assumptions. In addition, companies must provide significant additional disclosure related to Level 3 measurements.</w:t>
      </w:r>
    </w:p>
    <w:p w:rsidR="00E33436" w:rsidRDefault="00E33436" w:rsidP="00E33436"/>
    <w:p w:rsidR="00E33436" w:rsidRDefault="00E33436" w:rsidP="00E33436">
      <w:r>
        <w:rPr>
          <w:b/>
          <w:u w:val="single"/>
        </w:rPr>
        <w:t>Techniques of Disclosure</w:t>
      </w:r>
    </w:p>
    <w:p w:rsidR="00E33436" w:rsidRDefault="00E33436" w:rsidP="00E33436"/>
    <w:p w:rsidR="00E33436" w:rsidRDefault="00E33436" w:rsidP="00E33436">
      <w:pPr>
        <w:pStyle w:val="Review"/>
      </w:pPr>
      <w:r>
        <w:tab/>
        <w:t>29.</w:t>
      </w:r>
      <w:r>
        <w:tab/>
        <w:t xml:space="preserve">Effective communication of the information required to be disclosed in financial statements is an important consideration. Accountants have developed certain methods </w:t>
      </w:r>
      <w:r>
        <w:rPr>
          <w:spacing w:val="-2"/>
        </w:rPr>
        <w:t xml:space="preserve">that have proven useful in disclosing pertinent information. The methods are </w:t>
      </w:r>
      <w:r>
        <w:rPr>
          <w:b/>
          <w:spacing w:val="-2"/>
        </w:rPr>
        <w:t xml:space="preserve">parenthetical </w:t>
      </w:r>
      <w:r>
        <w:rPr>
          <w:b/>
        </w:rPr>
        <w:t>explanations, notes, cross reference and contra items,</w:t>
      </w:r>
      <w:r>
        <w:t xml:space="preserve"> and </w:t>
      </w:r>
      <w:r>
        <w:rPr>
          <w:b/>
        </w:rPr>
        <w:lastRenderedPageBreak/>
        <w:t>supporting schedules.</w:t>
      </w:r>
      <w:r>
        <w:t xml:space="preserve"> Numerous examples of the techniques of disclosure are presented in the text. These examples should be reviewed as they represent concepts referred to in subsequent chapter material.</w:t>
      </w:r>
    </w:p>
    <w:p w:rsidR="00E33436" w:rsidRDefault="00E33436" w:rsidP="00E33436"/>
    <w:p w:rsidR="00E33436" w:rsidRDefault="00E33436" w:rsidP="00E33436">
      <w:r>
        <w:rPr>
          <w:b/>
          <w:u w:val="single"/>
        </w:rPr>
        <w:t>Ratio Analysis</w:t>
      </w:r>
    </w:p>
    <w:p w:rsidR="00E33436" w:rsidRDefault="00E33436" w:rsidP="00E33436"/>
    <w:p w:rsidR="00C03401" w:rsidRDefault="00E33436" w:rsidP="00E33436">
      <w:r>
        <w:tab/>
        <w:t>30.</w:t>
      </w:r>
      <w:r>
        <w:tab/>
      </w:r>
      <w:r>
        <w:rPr>
          <w:b/>
        </w:rPr>
        <w:t>Appendix 5A Ratio Analysis—</w:t>
      </w:r>
      <w:proofErr w:type="gramStart"/>
      <w:r>
        <w:rPr>
          <w:b/>
        </w:rPr>
        <w:t>A</w:t>
      </w:r>
      <w:proofErr w:type="gramEnd"/>
      <w:r>
        <w:rPr>
          <w:b/>
        </w:rPr>
        <w:t xml:space="preserve"> Reference</w:t>
      </w:r>
      <w:r>
        <w:t xml:space="preserve"> demonstrates various ratios used to analyze financial performance.</w:t>
      </w:r>
    </w:p>
    <w:sectPr w:rsidR="00C034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436"/>
    <w:rsid w:val="00265ADD"/>
    <w:rsid w:val="00C03401"/>
    <w:rsid w:val="00E33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436"/>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E33436"/>
    <w:pPr>
      <w:tabs>
        <w:tab w:val="center" w:pos="4320"/>
        <w:tab w:val="right" w:pos="8640"/>
      </w:tabs>
    </w:pPr>
  </w:style>
  <w:style w:type="character" w:customStyle="1" w:styleId="FooterChar">
    <w:name w:val="Footer Char"/>
    <w:basedOn w:val="DefaultParagraphFont"/>
    <w:link w:val="Footer"/>
    <w:semiHidden/>
    <w:rsid w:val="00E33436"/>
    <w:rPr>
      <w:rFonts w:ascii="Helvetica" w:eastAsia="Times New Roman" w:hAnsi="Helvetica" w:cs="Times New Roman"/>
      <w:sz w:val="24"/>
      <w:szCs w:val="20"/>
    </w:rPr>
  </w:style>
  <w:style w:type="paragraph" w:customStyle="1" w:styleId="h1">
    <w:name w:val="h1"/>
    <w:rsid w:val="00E33436"/>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E33436"/>
    <w:pPr>
      <w:jc w:val="center"/>
    </w:pPr>
    <w:rPr>
      <w:b/>
      <w:sz w:val="48"/>
    </w:rPr>
  </w:style>
  <w:style w:type="character" w:customStyle="1" w:styleId="TitleChar">
    <w:name w:val="Title Char"/>
    <w:basedOn w:val="DefaultParagraphFont"/>
    <w:link w:val="Title"/>
    <w:rsid w:val="00E33436"/>
    <w:rPr>
      <w:rFonts w:ascii="Helvetica" w:eastAsia="Times New Roman" w:hAnsi="Helvetica" w:cs="Times New Roman"/>
      <w:b/>
      <w:sz w:val="48"/>
      <w:szCs w:val="20"/>
    </w:rPr>
  </w:style>
  <w:style w:type="paragraph" w:customStyle="1" w:styleId="Review">
    <w:name w:val="Review"/>
    <w:basedOn w:val="BlockText"/>
    <w:rsid w:val="00E33436"/>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E33436"/>
    <w:pPr>
      <w:tabs>
        <w:tab w:val="left" w:pos="540"/>
        <w:tab w:val="left" w:pos="907"/>
      </w:tabs>
      <w:overflowPunct w:val="0"/>
      <w:autoSpaceDE w:val="0"/>
      <w:autoSpaceDN w:val="0"/>
      <w:adjustRightInd w:val="0"/>
      <w:spacing w:line="280" w:lineRule="exact"/>
      <w:ind w:left="907" w:hanging="907"/>
      <w:jc w:val="both"/>
    </w:pPr>
  </w:style>
  <w:style w:type="paragraph" w:styleId="Subtitle">
    <w:name w:val="Subtitle"/>
    <w:basedOn w:val="Normal"/>
    <w:link w:val="SubtitleChar"/>
    <w:qFormat/>
    <w:rsid w:val="00E33436"/>
    <w:pPr>
      <w:jc w:val="center"/>
    </w:pPr>
    <w:rPr>
      <w:rFonts w:ascii="Arial" w:hAnsi="Arial"/>
      <w:b/>
    </w:rPr>
  </w:style>
  <w:style w:type="character" w:customStyle="1" w:styleId="SubtitleChar">
    <w:name w:val="Subtitle Char"/>
    <w:basedOn w:val="DefaultParagraphFont"/>
    <w:link w:val="Subtitle"/>
    <w:rsid w:val="00E33436"/>
    <w:rPr>
      <w:rFonts w:ascii="Arial" w:eastAsia="Times New Roman" w:hAnsi="Arial" w:cs="Times New Roman"/>
      <w:b/>
      <w:sz w:val="24"/>
      <w:szCs w:val="20"/>
    </w:rPr>
  </w:style>
  <w:style w:type="paragraph" w:styleId="BlockText">
    <w:name w:val="Block Text"/>
    <w:basedOn w:val="Normal"/>
    <w:uiPriority w:val="99"/>
    <w:semiHidden/>
    <w:unhideWhenUsed/>
    <w:rsid w:val="00E334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436"/>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E33436"/>
    <w:pPr>
      <w:tabs>
        <w:tab w:val="center" w:pos="4320"/>
        <w:tab w:val="right" w:pos="8640"/>
      </w:tabs>
    </w:pPr>
  </w:style>
  <w:style w:type="character" w:customStyle="1" w:styleId="FooterChar">
    <w:name w:val="Footer Char"/>
    <w:basedOn w:val="DefaultParagraphFont"/>
    <w:link w:val="Footer"/>
    <w:semiHidden/>
    <w:rsid w:val="00E33436"/>
    <w:rPr>
      <w:rFonts w:ascii="Helvetica" w:eastAsia="Times New Roman" w:hAnsi="Helvetica" w:cs="Times New Roman"/>
      <w:sz w:val="24"/>
      <w:szCs w:val="20"/>
    </w:rPr>
  </w:style>
  <w:style w:type="paragraph" w:customStyle="1" w:styleId="h1">
    <w:name w:val="h1"/>
    <w:rsid w:val="00E33436"/>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E33436"/>
    <w:pPr>
      <w:jc w:val="center"/>
    </w:pPr>
    <w:rPr>
      <w:b/>
      <w:sz w:val="48"/>
    </w:rPr>
  </w:style>
  <w:style w:type="character" w:customStyle="1" w:styleId="TitleChar">
    <w:name w:val="Title Char"/>
    <w:basedOn w:val="DefaultParagraphFont"/>
    <w:link w:val="Title"/>
    <w:rsid w:val="00E33436"/>
    <w:rPr>
      <w:rFonts w:ascii="Helvetica" w:eastAsia="Times New Roman" w:hAnsi="Helvetica" w:cs="Times New Roman"/>
      <w:b/>
      <w:sz w:val="48"/>
      <w:szCs w:val="20"/>
    </w:rPr>
  </w:style>
  <w:style w:type="paragraph" w:customStyle="1" w:styleId="Review">
    <w:name w:val="Review"/>
    <w:basedOn w:val="BlockText"/>
    <w:rsid w:val="00E33436"/>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E33436"/>
    <w:pPr>
      <w:tabs>
        <w:tab w:val="left" w:pos="540"/>
        <w:tab w:val="left" w:pos="907"/>
      </w:tabs>
      <w:overflowPunct w:val="0"/>
      <w:autoSpaceDE w:val="0"/>
      <w:autoSpaceDN w:val="0"/>
      <w:adjustRightInd w:val="0"/>
      <w:spacing w:line="280" w:lineRule="exact"/>
      <w:ind w:left="907" w:hanging="907"/>
      <w:jc w:val="both"/>
    </w:pPr>
  </w:style>
  <w:style w:type="paragraph" w:styleId="Subtitle">
    <w:name w:val="Subtitle"/>
    <w:basedOn w:val="Normal"/>
    <w:link w:val="SubtitleChar"/>
    <w:qFormat/>
    <w:rsid w:val="00E33436"/>
    <w:pPr>
      <w:jc w:val="center"/>
    </w:pPr>
    <w:rPr>
      <w:rFonts w:ascii="Arial" w:hAnsi="Arial"/>
      <w:b/>
    </w:rPr>
  </w:style>
  <w:style w:type="character" w:customStyle="1" w:styleId="SubtitleChar">
    <w:name w:val="Subtitle Char"/>
    <w:basedOn w:val="DefaultParagraphFont"/>
    <w:link w:val="Subtitle"/>
    <w:rsid w:val="00E33436"/>
    <w:rPr>
      <w:rFonts w:ascii="Arial" w:eastAsia="Times New Roman" w:hAnsi="Arial" w:cs="Times New Roman"/>
      <w:b/>
      <w:sz w:val="24"/>
      <w:szCs w:val="20"/>
    </w:rPr>
  </w:style>
  <w:style w:type="paragraph" w:styleId="BlockText">
    <w:name w:val="Block Text"/>
    <w:basedOn w:val="Normal"/>
    <w:uiPriority w:val="99"/>
    <w:semiHidden/>
    <w:unhideWhenUsed/>
    <w:rsid w:val="00E334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2311</Words>
  <Characters>13178</Characters>
  <Application>Microsoft Office Word</Application>
  <DocSecurity>0</DocSecurity>
  <Lines>109</Lines>
  <Paragraphs>30</Paragraphs>
  <ScaleCrop>false</ScaleCrop>
  <Company/>
  <LinksUpToDate>false</LinksUpToDate>
  <CharactersWithSpaces>15459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2</cp:revision>
  <dcterms:created xsi:type="dcterms:W3CDTF">2012-12-30T16:23:00Z</dcterms:created>
  <dcterms:modified xsi:type="dcterms:W3CDTF">2012-12-30T22:11:00Z</dcterms:modified>
</cp:coreProperties>
</file>