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BAA" w:rsidRDefault="00260BAA" w:rsidP="00260BAA">
      <w:pPr>
        <w:rPr>
          <w:rFonts w:ascii="Arial" w:hAnsi="Arial"/>
          <w:b/>
        </w:rPr>
      </w:pPr>
    </w:p>
    <w:p w:rsidR="00260BAA" w:rsidRPr="00FE44B5" w:rsidRDefault="00260BAA" w:rsidP="00260BAA">
      <w:pPr>
        <w:pStyle w:val="Subtitle"/>
        <w:rPr>
          <w:rFonts w:ascii="Helvetica" w:hAnsi="Helvetica"/>
          <w:sz w:val="36"/>
          <w:u w:val="single"/>
        </w:rPr>
      </w:pPr>
      <w:bookmarkStart w:id="0" w:name="_GoBack"/>
      <w:r w:rsidRPr="00FE44B5">
        <w:rPr>
          <w:rFonts w:ascii="Helvetica" w:hAnsi="Helvetica"/>
          <w:sz w:val="36"/>
          <w:u w:val="single"/>
        </w:rPr>
        <w:t xml:space="preserve">Lecture 06 </w:t>
      </w:r>
    </w:p>
    <w:p w:rsidR="00260BAA" w:rsidRPr="00FE44B5" w:rsidRDefault="00260BAA" w:rsidP="00260BAA">
      <w:pPr>
        <w:pStyle w:val="Subtitle"/>
        <w:rPr>
          <w:rFonts w:ascii="Helvetica" w:hAnsi="Helvetica"/>
          <w:sz w:val="36"/>
          <w:u w:val="single"/>
        </w:rPr>
      </w:pPr>
      <w:r w:rsidRPr="00FE44B5">
        <w:rPr>
          <w:rFonts w:ascii="Helvetica" w:hAnsi="Helvetica"/>
          <w:sz w:val="36"/>
          <w:u w:val="single"/>
        </w:rPr>
        <w:t>Practical Issues Related to Income Statement</w:t>
      </w:r>
    </w:p>
    <w:bookmarkEnd w:id="0"/>
    <w:p w:rsidR="00260BAA" w:rsidRDefault="00260BAA" w:rsidP="00260BAA">
      <w:pPr>
        <w:rPr>
          <w:rFonts w:ascii="Arial" w:hAnsi="Arial"/>
          <w:b/>
        </w:rPr>
      </w:pPr>
    </w:p>
    <w:p w:rsidR="00260BAA" w:rsidRDefault="00260BAA" w:rsidP="00260BAA">
      <w:pPr>
        <w:pStyle w:val="Review"/>
        <w:spacing w:line="200" w:lineRule="exact"/>
      </w:pPr>
    </w:p>
    <w:p w:rsidR="00260BAA" w:rsidRDefault="00260BAA" w:rsidP="00260BAA">
      <w:pPr>
        <w:pStyle w:val="Review"/>
        <w:numPr>
          <w:ilvl w:val="0"/>
          <w:numId w:val="1"/>
        </w:numPr>
        <w:spacing w:line="270" w:lineRule="exact"/>
      </w:pPr>
      <w:r>
        <w:t>The income statement helps users of financial statements (1) evaluate the past performance of the company, (2) provide a basis for predicting future performance, and (3) help assess the risk or uncertainty of achieving future cash flows. The limitations of the income statement include (1) items that cannot be measured reliably are not reported in the income statement, (2) income numbers are affected by the accounting methods employed, and (3) income measurement involves judgment.</w:t>
      </w:r>
    </w:p>
    <w:p w:rsidR="00260BAA" w:rsidRDefault="00260BAA" w:rsidP="00260BAA">
      <w:pPr>
        <w:pStyle w:val="Review"/>
        <w:spacing w:line="200" w:lineRule="exact"/>
      </w:pPr>
    </w:p>
    <w:p w:rsidR="00260BAA" w:rsidRDefault="00260BAA" w:rsidP="00260BAA">
      <w:pPr>
        <w:pStyle w:val="Review"/>
        <w:numPr>
          <w:ilvl w:val="0"/>
          <w:numId w:val="1"/>
        </w:numPr>
        <w:spacing w:line="270" w:lineRule="exact"/>
      </w:pPr>
      <w:r>
        <w:t>Quality of earnings is important because markets are based on trust and it is imperative that investors have faith in the numbers reported. If that trust is damaged, capital markets will be damaged.</w:t>
      </w:r>
    </w:p>
    <w:p w:rsidR="00260BAA" w:rsidRDefault="00260BAA" w:rsidP="00260BAA">
      <w:pPr>
        <w:pStyle w:val="Review"/>
        <w:spacing w:line="200" w:lineRule="exact"/>
      </w:pPr>
    </w:p>
    <w:p w:rsidR="00260BAA" w:rsidRDefault="00260BAA" w:rsidP="00260BAA">
      <w:pPr>
        <w:spacing w:line="280" w:lineRule="exact"/>
        <w:rPr>
          <w:b/>
          <w:u w:val="single"/>
        </w:rPr>
      </w:pPr>
      <w:r>
        <w:rPr>
          <w:b/>
          <w:u w:val="single"/>
        </w:rPr>
        <w:t>Elements of the Income Statement</w:t>
      </w:r>
    </w:p>
    <w:p w:rsidR="00260BAA" w:rsidRDefault="00260BAA" w:rsidP="00260BAA">
      <w:pPr>
        <w:pStyle w:val="Review"/>
        <w:tabs>
          <w:tab w:val="clear" w:pos="360"/>
          <w:tab w:val="clear" w:pos="540"/>
        </w:tabs>
        <w:spacing w:line="200" w:lineRule="exact"/>
      </w:pPr>
    </w:p>
    <w:p w:rsidR="00260BAA" w:rsidRDefault="00260BAA" w:rsidP="00260BAA">
      <w:pPr>
        <w:pStyle w:val="Review"/>
        <w:numPr>
          <w:ilvl w:val="0"/>
          <w:numId w:val="1"/>
        </w:numPr>
        <w:spacing w:line="270" w:lineRule="exact"/>
      </w:pPr>
      <w:r>
        <w:t xml:space="preserve">The major elements of net income, as described in Chapter 2, are: </w:t>
      </w:r>
      <w:r w:rsidRPr="00260BAA">
        <w:t xml:space="preserve">revenues, expenses, gains, and losses. The distinction between revenues and gains and the distinction between </w:t>
      </w:r>
      <w:r>
        <w:t xml:space="preserve">expenses and losses depend to a great extent on the typical activities of a </w:t>
      </w:r>
      <w:r w:rsidRPr="00260BAA">
        <w:t xml:space="preserve">business enterprise. When inflows or enhancements of assets result from typical business </w:t>
      </w:r>
      <w:r>
        <w:t xml:space="preserve">activities (generally the activities the entity is in business to perform), revenues result. Likewise, outflows or the using up of assets resulting from typical business activities will generate expenses. </w:t>
      </w:r>
      <w:proofErr w:type="spellStart"/>
      <w:r>
        <w:t>Nontypical</w:t>
      </w:r>
      <w:proofErr w:type="spellEnd"/>
      <w:r>
        <w:t xml:space="preserve"> business activities resulting in inflows or outflows of assets will normally generate transactions classified as gains or losses.</w:t>
      </w:r>
    </w:p>
    <w:p w:rsidR="00260BAA" w:rsidRDefault="00260BAA" w:rsidP="00260BAA">
      <w:pPr>
        <w:pStyle w:val="Review"/>
        <w:tabs>
          <w:tab w:val="clear" w:pos="360"/>
          <w:tab w:val="clear" w:pos="540"/>
        </w:tabs>
        <w:spacing w:line="200" w:lineRule="exact"/>
      </w:pPr>
    </w:p>
    <w:p w:rsidR="00260BAA" w:rsidRDefault="00260BAA" w:rsidP="00260BAA">
      <w:pPr>
        <w:spacing w:line="280" w:lineRule="exact"/>
      </w:pPr>
      <w:r>
        <w:rPr>
          <w:b/>
          <w:u w:val="single"/>
        </w:rPr>
        <w:t>Single-Step vs. Multiple-Step</w:t>
      </w:r>
    </w:p>
    <w:p w:rsidR="00260BAA" w:rsidRDefault="00260BAA" w:rsidP="00260BAA">
      <w:pPr>
        <w:pStyle w:val="Review"/>
        <w:tabs>
          <w:tab w:val="clear" w:pos="360"/>
          <w:tab w:val="clear" w:pos="540"/>
        </w:tabs>
        <w:spacing w:line="200" w:lineRule="exact"/>
      </w:pPr>
    </w:p>
    <w:p w:rsidR="00260BAA" w:rsidRDefault="00260BAA" w:rsidP="00260BAA">
      <w:pPr>
        <w:pStyle w:val="Review"/>
        <w:numPr>
          <w:ilvl w:val="0"/>
          <w:numId w:val="1"/>
        </w:numPr>
        <w:spacing w:line="270" w:lineRule="exact"/>
      </w:pPr>
      <w:r w:rsidRPr="00260BAA">
        <w:t xml:space="preserve">The income statement may be presented in the single-step format or the multiple-step format. Single-step income statements derive their name from the fact that total costs and expenses are subtracted from total revenues in a “single step” to arrive at net income. Income taxes are normally shown as a separate item among the expenses (usually last) to indicate their relationship to income before taxes. The multiple-step format separates results achieved by regular operations of the entity from those obtained by </w:t>
      </w:r>
      <w:proofErr w:type="spellStart"/>
      <w:r w:rsidRPr="00260BAA">
        <w:t>nonoperating</w:t>
      </w:r>
      <w:proofErr w:type="spellEnd"/>
      <w:r w:rsidRPr="00260BAA">
        <w:t xml:space="preserve"> activities. Expenses are also classified by function such as cost of sales, selling, and administrative. The multiple-step format provides more information to financial statement users than does the single-step format; however, both are found in actual practice.</w:t>
      </w:r>
    </w:p>
    <w:p w:rsidR="00260BAA" w:rsidRDefault="00260BAA" w:rsidP="00260BAA">
      <w:pPr>
        <w:pStyle w:val="Review"/>
        <w:spacing w:line="200" w:lineRule="exact"/>
      </w:pPr>
    </w:p>
    <w:p w:rsidR="00260BAA" w:rsidRDefault="00260BAA" w:rsidP="00260BAA">
      <w:pPr>
        <w:pStyle w:val="Review"/>
        <w:numPr>
          <w:ilvl w:val="0"/>
          <w:numId w:val="1"/>
        </w:numPr>
        <w:spacing w:line="270" w:lineRule="exact"/>
      </w:pPr>
      <w:r>
        <w:br w:type="page"/>
      </w:r>
      <w:r>
        <w:lastRenderedPageBreak/>
        <w:t>An income statement is composed of various sections that relate to different aspects of the earning process. The seven sections identified in the chapter, in the general order of their appearance in the income statement, are:</w:t>
      </w:r>
    </w:p>
    <w:p w:rsidR="00260BAA" w:rsidRDefault="00260BAA" w:rsidP="00260BAA">
      <w:pPr>
        <w:pStyle w:val="Review2"/>
        <w:tabs>
          <w:tab w:val="clear" w:pos="907"/>
        </w:tabs>
        <w:spacing w:after="120"/>
        <w:ind w:left="979"/>
      </w:pPr>
      <w:r>
        <w:tab/>
        <w:t>(1)</w:t>
      </w:r>
      <w:r>
        <w:tab/>
      </w:r>
      <w:r>
        <w:rPr>
          <w:b/>
        </w:rPr>
        <w:t>Operating Section.</w:t>
      </w:r>
      <w:r>
        <w:t> </w:t>
      </w:r>
      <w:proofErr w:type="gramStart"/>
      <w:r>
        <w:t>Revenues and expenses from the entity’s principal operations.</w:t>
      </w:r>
      <w:proofErr w:type="gramEnd"/>
    </w:p>
    <w:p w:rsidR="00260BAA" w:rsidRDefault="00260BAA" w:rsidP="00260BAA">
      <w:pPr>
        <w:pStyle w:val="Review3"/>
        <w:tabs>
          <w:tab w:val="clear" w:pos="907"/>
          <w:tab w:val="clear" w:pos="1440"/>
          <w:tab w:val="left" w:pos="990"/>
        </w:tabs>
        <w:spacing w:after="120"/>
        <w:ind w:left="1368" w:hanging="1267"/>
      </w:pPr>
      <w:r>
        <w:tab/>
        <w:t>a.</w:t>
      </w:r>
      <w:r>
        <w:tab/>
      </w:r>
      <w:r>
        <w:rPr>
          <w:b/>
        </w:rPr>
        <w:t>Sales or revenue section.</w:t>
      </w:r>
    </w:p>
    <w:p w:rsidR="00260BAA" w:rsidRDefault="00260BAA" w:rsidP="00260BAA">
      <w:pPr>
        <w:pStyle w:val="Review3"/>
        <w:tabs>
          <w:tab w:val="clear" w:pos="907"/>
          <w:tab w:val="clear" w:pos="1440"/>
          <w:tab w:val="left" w:pos="990"/>
        </w:tabs>
        <w:spacing w:after="120"/>
        <w:ind w:left="1368" w:hanging="1267"/>
      </w:pPr>
      <w:r>
        <w:tab/>
        <w:t>b.</w:t>
      </w:r>
      <w:r>
        <w:tab/>
      </w:r>
      <w:r>
        <w:rPr>
          <w:b/>
        </w:rPr>
        <w:t>Cost of goods sold section.</w:t>
      </w:r>
    </w:p>
    <w:p w:rsidR="00260BAA" w:rsidRDefault="00260BAA" w:rsidP="00260BAA">
      <w:pPr>
        <w:pStyle w:val="Review3"/>
        <w:tabs>
          <w:tab w:val="clear" w:pos="907"/>
          <w:tab w:val="clear" w:pos="1440"/>
          <w:tab w:val="left" w:pos="990"/>
        </w:tabs>
        <w:spacing w:after="120"/>
        <w:ind w:left="1368" w:hanging="1267"/>
      </w:pPr>
      <w:r>
        <w:tab/>
        <w:t>c.</w:t>
      </w:r>
      <w:r>
        <w:tab/>
      </w:r>
      <w:r>
        <w:rPr>
          <w:b/>
        </w:rPr>
        <w:t>Selling expenses.</w:t>
      </w:r>
    </w:p>
    <w:p w:rsidR="00260BAA" w:rsidRDefault="00260BAA" w:rsidP="00260BAA">
      <w:pPr>
        <w:pStyle w:val="Review3"/>
        <w:tabs>
          <w:tab w:val="clear" w:pos="907"/>
          <w:tab w:val="clear" w:pos="1440"/>
          <w:tab w:val="left" w:pos="990"/>
        </w:tabs>
        <w:ind w:left="1368" w:hanging="1267"/>
      </w:pPr>
      <w:r>
        <w:tab/>
        <w:t>d.</w:t>
      </w:r>
      <w:r>
        <w:tab/>
      </w:r>
      <w:r>
        <w:rPr>
          <w:b/>
        </w:rPr>
        <w:t>Administrative or general expenses.</w:t>
      </w:r>
    </w:p>
    <w:p w:rsidR="00260BAA" w:rsidRDefault="00260BAA" w:rsidP="00260BAA">
      <w:pPr>
        <w:pStyle w:val="Review2"/>
        <w:tabs>
          <w:tab w:val="clear" w:pos="907"/>
        </w:tabs>
        <w:spacing w:after="160"/>
        <w:ind w:left="972"/>
      </w:pPr>
    </w:p>
    <w:p w:rsidR="00260BAA" w:rsidRDefault="00260BAA" w:rsidP="00260BAA">
      <w:pPr>
        <w:pStyle w:val="Review2"/>
        <w:tabs>
          <w:tab w:val="clear" w:pos="907"/>
        </w:tabs>
        <w:spacing w:after="160"/>
        <w:ind w:left="972"/>
      </w:pPr>
      <w:r>
        <w:tab/>
        <w:t>(2)</w:t>
      </w:r>
      <w:r>
        <w:tab/>
      </w:r>
      <w:proofErr w:type="spellStart"/>
      <w:r>
        <w:rPr>
          <w:b/>
          <w:spacing w:val="-2"/>
        </w:rPr>
        <w:t>Nonoperating</w:t>
      </w:r>
      <w:proofErr w:type="spellEnd"/>
      <w:r>
        <w:rPr>
          <w:b/>
          <w:spacing w:val="-2"/>
        </w:rPr>
        <w:t xml:space="preserve"> Section.</w:t>
      </w:r>
      <w:r>
        <w:rPr>
          <w:b/>
          <w:spacing w:val="-2"/>
        </w:rPr>
        <w:t> </w:t>
      </w:r>
      <w:proofErr w:type="gramStart"/>
      <w:r>
        <w:rPr>
          <w:spacing w:val="-2"/>
        </w:rPr>
        <w:t>Revenues and expenses resulting from secondary or auxiliary activities of the company.</w:t>
      </w:r>
      <w:proofErr w:type="gramEnd"/>
    </w:p>
    <w:p w:rsidR="00260BAA" w:rsidRDefault="00260BAA" w:rsidP="00260BAA">
      <w:pPr>
        <w:pStyle w:val="Review3"/>
        <w:tabs>
          <w:tab w:val="clear" w:pos="907"/>
          <w:tab w:val="clear" w:pos="1440"/>
          <w:tab w:val="left" w:pos="990"/>
        </w:tabs>
        <w:spacing w:after="160"/>
        <w:ind w:left="1359" w:hanging="1260"/>
      </w:pPr>
      <w:r>
        <w:tab/>
        <w:t>a.</w:t>
      </w:r>
      <w:r>
        <w:tab/>
      </w:r>
      <w:r>
        <w:rPr>
          <w:b/>
        </w:rPr>
        <w:t>Other revenues and gains.</w:t>
      </w:r>
    </w:p>
    <w:p w:rsidR="00260BAA" w:rsidRDefault="00260BAA" w:rsidP="00260BAA">
      <w:pPr>
        <w:pStyle w:val="Review3"/>
        <w:tabs>
          <w:tab w:val="clear" w:pos="907"/>
          <w:tab w:val="clear" w:pos="1440"/>
          <w:tab w:val="left" w:pos="990"/>
        </w:tabs>
        <w:spacing w:after="160"/>
        <w:ind w:left="1359" w:hanging="1260"/>
      </w:pPr>
      <w:r>
        <w:tab/>
        <w:t>b.</w:t>
      </w:r>
      <w:r>
        <w:tab/>
      </w:r>
      <w:r>
        <w:rPr>
          <w:b/>
        </w:rPr>
        <w:t>Other expenses and losses.</w:t>
      </w:r>
    </w:p>
    <w:p w:rsidR="00260BAA" w:rsidRDefault="00260BAA" w:rsidP="00260BAA">
      <w:pPr>
        <w:pStyle w:val="Review2"/>
        <w:tabs>
          <w:tab w:val="clear" w:pos="907"/>
        </w:tabs>
        <w:spacing w:after="220"/>
        <w:ind w:left="979"/>
      </w:pPr>
      <w:r>
        <w:tab/>
        <w:t>(3)</w:t>
      </w:r>
      <w:r>
        <w:tab/>
      </w:r>
      <w:r>
        <w:rPr>
          <w:b/>
        </w:rPr>
        <w:t>Income Tax.</w:t>
      </w:r>
      <w:r>
        <w:rPr>
          <w:b/>
        </w:rPr>
        <w:t> </w:t>
      </w:r>
      <w:r>
        <w:t>All taxes levied on income from continuing operations.</w:t>
      </w:r>
    </w:p>
    <w:p w:rsidR="00260BAA" w:rsidRDefault="00260BAA" w:rsidP="00260BAA">
      <w:pPr>
        <w:pStyle w:val="Review2"/>
        <w:tabs>
          <w:tab w:val="clear" w:pos="907"/>
        </w:tabs>
        <w:spacing w:after="220"/>
        <w:ind w:left="979"/>
      </w:pPr>
      <w:r>
        <w:tab/>
        <w:t>(4)</w:t>
      </w:r>
      <w:r>
        <w:tab/>
      </w:r>
      <w:r>
        <w:rPr>
          <w:b/>
        </w:rPr>
        <w:t>Discontinued Operations.</w:t>
      </w:r>
      <w:r>
        <w:rPr>
          <w:b/>
        </w:rPr>
        <w:t> </w:t>
      </w:r>
      <w:r>
        <w:t xml:space="preserve">Material gains and losses resulting from disposal of </w:t>
      </w:r>
      <w:r>
        <w:br/>
        <w:t>a segment of the business.</w:t>
      </w:r>
    </w:p>
    <w:p w:rsidR="00260BAA" w:rsidRDefault="00260BAA" w:rsidP="00260BAA">
      <w:pPr>
        <w:pStyle w:val="Review2"/>
        <w:tabs>
          <w:tab w:val="clear" w:pos="907"/>
        </w:tabs>
        <w:spacing w:after="220"/>
        <w:ind w:left="979"/>
      </w:pPr>
      <w:r>
        <w:tab/>
        <w:t>(5)</w:t>
      </w:r>
      <w:r>
        <w:tab/>
      </w:r>
      <w:r>
        <w:rPr>
          <w:b/>
        </w:rPr>
        <w:t>Extraordinary Items.</w:t>
      </w:r>
      <w:r>
        <w:rPr>
          <w:b/>
        </w:rPr>
        <w:t> </w:t>
      </w:r>
      <w:r>
        <w:t>Unusual and infrequent material gains and losses.</w:t>
      </w:r>
    </w:p>
    <w:p w:rsidR="00260BAA" w:rsidRDefault="00260BAA" w:rsidP="00260BAA">
      <w:pPr>
        <w:pStyle w:val="Review2"/>
        <w:tabs>
          <w:tab w:val="clear" w:pos="907"/>
        </w:tabs>
        <w:spacing w:after="220"/>
        <w:ind w:left="979"/>
      </w:pPr>
      <w:r>
        <w:tab/>
        <w:t>(6)</w:t>
      </w:r>
      <w:r>
        <w:tab/>
      </w:r>
      <w:r>
        <w:rPr>
          <w:b/>
        </w:rPr>
        <w:t xml:space="preserve">Earnings </w:t>
      </w:r>
      <w:proofErr w:type="gramStart"/>
      <w:r>
        <w:rPr>
          <w:b/>
        </w:rPr>
        <w:t>Per</w:t>
      </w:r>
      <w:proofErr w:type="gramEnd"/>
      <w:r>
        <w:rPr>
          <w:b/>
        </w:rPr>
        <w:t xml:space="preserve"> Share.</w:t>
      </w:r>
    </w:p>
    <w:p w:rsidR="00260BAA" w:rsidRDefault="00260BAA" w:rsidP="00260BAA">
      <w:pPr>
        <w:pStyle w:val="Review"/>
      </w:pPr>
      <w:r>
        <w:tab/>
      </w:r>
      <w:r>
        <w:tab/>
        <w:t>The informative content of the income statement may be further enhanced by adding additional subsections to the above major sections.</w:t>
      </w:r>
    </w:p>
    <w:p w:rsidR="00260BAA" w:rsidRDefault="00260BAA" w:rsidP="00260BAA">
      <w:pPr>
        <w:spacing w:line="280" w:lineRule="exact"/>
      </w:pPr>
    </w:p>
    <w:p w:rsidR="00260BAA" w:rsidRDefault="00260BAA" w:rsidP="00260BAA">
      <w:pPr>
        <w:spacing w:line="280" w:lineRule="exact"/>
        <w:rPr>
          <w:b/>
          <w:u w:val="single"/>
        </w:rPr>
      </w:pPr>
      <w:r>
        <w:rPr>
          <w:b/>
          <w:u w:val="single"/>
        </w:rPr>
        <w:t>Reporting Irregular Items</w:t>
      </w:r>
    </w:p>
    <w:p w:rsidR="00260BAA" w:rsidRDefault="00260BAA" w:rsidP="00260BAA">
      <w:pPr>
        <w:pStyle w:val="Review"/>
      </w:pPr>
    </w:p>
    <w:p w:rsidR="00260BAA" w:rsidRDefault="00260BAA" w:rsidP="00260BAA">
      <w:pPr>
        <w:pStyle w:val="Review"/>
        <w:numPr>
          <w:ilvl w:val="0"/>
          <w:numId w:val="1"/>
        </w:numPr>
        <w:spacing w:line="270" w:lineRule="exact"/>
      </w:pPr>
      <w:r w:rsidRPr="00260BAA">
        <w:t xml:space="preserve">For the most part, accountants tend to agree on the composition of items included on the income statement. However, certain unusual items (irregular gains/losses) have stirred controversy in regard </w:t>
      </w:r>
      <w:r>
        <w:t xml:space="preserve">to the effect they should have on the presentation of net income. Some accountants favor reporting the unusual items directly in the income statement. </w:t>
      </w:r>
      <w:r w:rsidRPr="00260BAA">
        <w:t xml:space="preserve">Those who support the current operating performance concept to income measurement </w:t>
      </w:r>
      <w:r>
        <w:t>believe that the unusual items should be closed directly to retained earnings (not included in computing net income). The accounting profession</w:t>
      </w:r>
      <w:r w:rsidRPr="00260BAA">
        <w:t xml:space="preserve"> </w:t>
      </w:r>
      <w:r>
        <w:t xml:space="preserve">adopted a </w:t>
      </w:r>
      <w:r w:rsidRPr="00260BAA">
        <w:t>modified all-inclusive concept</w:t>
      </w:r>
      <w:r>
        <w:t xml:space="preserve"> and requires application of this approach in practice.</w:t>
      </w:r>
    </w:p>
    <w:p w:rsidR="00260BAA" w:rsidRDefault="00260BAA" w:rsidP="00260BAA">
      <w:pPr>
        <w:spacing w:line="280" w:lineRule="exact"/>
      </w:pPr>
    </w:p>
    <w:p w:rsidR="00260BAA" w:rsidRDefault="00260BAA" w:rsidP="00260BAA">
      <w:pPr>
        <w:pStyle w:val="Review"/>
        <w:numPr>
          <w:ilvl w:val="0"/>
          <w:numId w:val="1"/>
        </w:numPr>
        <w:spacing w:line="270" w:lineRule="exact"/>
      </w:pPr>
      <w:r>
        <w:br w:type="page"/>
      </w:r>
      <w:r>
        <w:lastRenderedPageBreak/>
        <w:t>In an attempt to provide financial statement users with the ability to better determine the long-range earning power of an enterprise, certain professional pronouncements require that the following irregular items be highlighted in the financial statements.</w:t>
      </w:r>
    </w:p>
    <w:p w:rsidR="00260BAA" w:rsidRDefault="00260BAA" w:rsidP="00260BAA">
      <w:pPr>
        <w:spacing w:line="280" w:lineRule="exact"/>
      </w:pPr>
    </w:p>
    <w:p w:rsidR="00260BAA" w:rsidRDefault="00260BAA" w:rsidP="00260BAA">
      <w:pPr>
        <w:pStyle w:val="Review2"/>
      </w:pPr>
      <w:r>
        <w:tab/>
        <w:t>a.</w:t>
      </w:r>
      <w:r>
        <w:tab/>
      </w:r>
      <w:r>
        <w:rPr>
          <w:b/>
        </w:rPr>
        <w:t>Discontinued operations.</w:t>
      </w:r>
    </w:p>
    <w:p w:rsidR="00260BAA" w:rsidRDefault="00260BAA" w:rsidP="00260BAA">
      <w:pPr>
        <w:pStyle w:val="Review2"/>
      </w:pPr>
    </w:p>
    <w:p w:rsidR="00260BAA" w:rsidRDefault="00260BAA" w:rsidP="00260BAA">
      <w:pPr>
        <w:pStyle w:val="Review2"/>
      </w:pPr>
      <w:r>
        <w:tab/>
        <w:t>b.</w:t>
      </w:r>
      <w:r>
        <w:tab/>
      </w:r>
      <w:r>
        <w:rPr>
          <w:b/>
        </w:rPr>
        <w:t>Extraordinary items.</w:t>
      </w:r>
    </w:p>
    <w:p w:rsidR="00260BAA" w:rsidRDefault="00260BAA" w:rsidP="00260BAA">
      <w:pPr>
        <w:pStyle w:val="Review2"/>
      </w:pPr>
    </w:p>
    <w:p w:rsidR="00260BAA" w:rsidRDefault="00260BAA" w:rsidP="00260BAA">
      <w:pPr>
        <w:pStyle w:val="Review2"/>
      </w:pPr>
      <w:r>
        <w:tab/>
        <w:t>c.</w:t>
      </w:r>
      <w:r>
        <w:tab/>
      </w:r>
      <w:r>
        <w:rPr>
          <w:b/>
        </w:rPr>
        <w:t>Unusual gains and losses.</w:t>
      </w:r>
    </w:p>
    <w:p w:rsidR="00260BAA" w:rsidRDefault="00260BAA" w:rsidP="00260BAA">
      <w:pPr>
        <w:pStyle w:val="Review2"/>
      </w:pPr>
    </w:p>
    <w:p w:rsidR="00260BAA" w:rsidRDefault="00260BAA" w:rsidP="00260BAA">
      <w:pPr>
        <w:pStyle w:val="Review2"/>
      </w:pPr>
      <w:r>
        <w:tab/>
        <w:t>d.</w:t>
      </w:r>
      <w:r>
        <w:tab/>
      </w:r>
      <w:r>
        <w:rPr>
          <w:b/>
        </w:rPr>
        <w:t>Changes in estimates.</w:t>
      </w:r>
    </w:p>
    <w:p w:rsidR="00260BAA" w:rsidRDefault="00260BAA" w:rsidP="00260BAA">
      <w:pPr>
        <w:pStyle w:val="Review2"/>
      </w:pPr>
    </w:p>
    <w:p w:rsidR="00260BAA" w:rsidRDefault="00260BAA" w:rsidP="00260BAA">
      <w:pPr>
        <w:pStyle w:val="Review2"/>
      </w:pPr>
      <w:r>
        <w:tab/>
        <w:t>e.</w:t>
      </w:r>
      <w:r>
        <w:tab/>
      </w:r>
      <w:r>
        <w:rPr>
          <w:b/>
        </w:rPr>
        <w:t>Corrections of errors.</w:t>
      </w:r>
    </w:p>
    <w:p w:rsidR="00260BAA" w:rsidRDefault="00260BAA" w:rsidP="00260BAA">
      <w:pPr>
        <w:spacing w:line="280" w:lineRule="exact"/>
        <w:rPr>
          <w:b/>
          <w:u w:val="single"/>
        </w:rPr>
      </w:pPr>
    </w:p>
    <w:p w:rsidR="00260BAA" w:rsidRDefault="00260BAA" w:rsidP="00260BAA">
      <w:pPr>
        <w:spacing w:line="280" w:lineRule="exact"/>
        <w:rPr>
          <w:b/>
          <w:u w:val="single"/>
        </w:rPr>
      </w:pPr>
      <w:r>
        <w:rPr>
          <w:b/>
          <w:u w:val="single"/>
        </w:rPr>
        <w:t>Discontinued Operations</w:t>
      </w:r>
    </w:p>
    <w:p w:rsidR="00260BAA" w:rsidRDefault="00260BAA" w:rsidP="00260BAA">
      <w:pPr>
        <w:spacing w:line="280" w:lineRule="exact"/>
      </w:pPr>
    </w:p>
    <w:p w:rsidR="00260BAA" w:rsidRDefault="00260BAA" w:rsidP="00260BAA">
      <w:pPr>
        <w:pStyle w:val="Review"/>
        <w:numPr>
          <w:ilvl w:val="0"/>
          <w:numId w:val="1"/>
        </w:numPr>
        <w:spacing w:line="270" w:lineRule="exact"/>
      </w:pPr>
      <w:r>
        <w:t xml:space="preserve">A </w:t>
      </w:r>
      <w:r w:rsidRPr="00260BAA">
        <w:t xml:space="preserve">discontinued operation </w:t>
      </w:r>
      <w:r>
        <w:t xml:space="preserve">occurs when (a) the results of operations and cash flows of </w:t>
      </w:r>
      <w:r w:rsidRPr="00260BAA">
        <w:t>a component of a company have been (or will be) eliminated from the ongoing operations</w:t>
      </w:r>
      <w:r>
        <w:t>, and (b) there is no significant continuing involvement in that component after the disposal transaction. When an entity decides to dispose of a component of its business, certain classification and disclosure requirements must be met. A separate income statement category for gain or loss from disposal of a component of a business must be provided. In addition, the results of operations of a component that has been or will be disposed of are also reported separately from continuing operations.</w:t>
      </w:r>
    </w:p>
    <w:p w:rsidR="00260BAA" w:rsidRDefault="00260BAA" w:rsidP="00260BAA">
      <w:pPr>
        <w:spacing w:line="280" w:lineRule="exact"/>
      </w:pPr>
    </w:p>
    <w:p w:rsidR="00260BAA" w:rsidRDefault="00260BAA" w:rsidP="00260BAA">
      <w:pPr>
        <w:spacing w:line="280" w:lineRule="exact"/>
      </w:pPr>
      <w:r>
        <w:rPr>
          <w:b/>
          <w:u w:val="single"/>
        </w:rPr>
        <w:t>Extraordinary Items</w:t>
      </w:r>
    </w:p>
    <w:p w:rsidR="00260BAA" w:rsidRDefault="00260BAA" w:rsidP="00260BAA">
      <w:pPr>
        <w:spacing w:line="280" w:lineRule="exact"/>
      </w:pPr>
    </w:p>
    <w:p w:rsidR="00260BAA" w:rsidRDefault="00260BAA" w:rsidP="00260BAA">
      <w:pPr>
        <w:pStyle w:val="Review"/>
      </w:pPr>
      <w:r>
        <w:tab/>
        <w:t>10.</w:t>
      </w:r>
      <w:r>
        <w:tab/>
      </w:r>
      <w:r>
        <w:rPr>
          <w:b/>
        </w:rPr>
        <w:t xml:space="preserve">Extraordinary items </w:t>
      </w:r>
      <w:r>
        <w:t xml:space="preserve">are defined as material items that are </w:t>
      </w:r>
      <w:r>
        <w:rPr>
          <w:b/>
        </w:rPr>
        <w:t xml:space="preserve">unusual in nature </w:t>
      </w:r>
      <w:r>
        <w:t xml:space="preserve">and </w:t>
      </w:r>
      <w:r>
        <w:rPr>
          <w:b/>
        </w:rPr>
        <w:t xml:space="preserve">occur </w:t>
      </w:r>
      <w:r>
        <w:rPr>
          <w:b/>
          <w:spacing w:val="-2"/>
        </w:rPr>
        <w:t xml:space="preserve">infrequently. </w:t>
      </w:r>
      <w:r>
        <w:rPr>
          <w:spacing w:val="-2"/>
        </w:rPr>
        <w:t xml:space="preserve">Both characteristics must exist for an item to be classified as an extraordinary </w:t>
      </w:r>
      <w:r>
        <w:t>item on the income statement. Only rarely does an event or transaction clearly meet both criteria and thus give rise to an extraordinary gain or loss. If an event or transaction meets both tests, it is shown net of taxes in a separate section of the income statement usually just above net income.</w:t>
      </w:r>
    </w:p>
    <w:p w:rsidR="00260BAA" w:rsidRDefault="00260BAA" w:rsidP="00260BAA">
      <w:pPr>
        <w:spacing w:line="280" w:lineRule="exact"/>
      </w:pPr>
    </w:p>
    <w:p w:rsidR="00260BAA" w:rsidRDefault="00260BAA" w:rsidP="00260BAA">
      <w:pPr>
        <w:spacing w:line="280" w:lineRule="exact"/>
      </w:pPr>
      <w:r>
        <w:rPr>
          <w:b/>
          <w:u w:val="single"/>
        </w:rPr>
        <w:t>Unusual Gains and Losses</w:t>
      </w:r>
    </w:p>
    <w:p w:rsidR="00260BAA" w:rsidRDefault="00260BAA" w:rsidP="00260BAA">
      <w:pPr>
        <w:spacing w:line="280" w:lineRule="exact"/>
      </w:pPr>
    </w:p>
    <w:p w:rsidR="00260BAA" w:rsidRDefault="00260BAA" w:rsidP="00260BAA">
      <w:pPr>
        <w:pStyle w:val="Review"/>
      </w:pPr>
      <w:r>
        <w:tab/>
        <w:t>11.</w:t>
      </w:r>
      <w:r>
        <w:tab/>
        <w:t xml:space="preserve">Material gains and losses that are </w:t>
      </w:r>
      <w:r>
        <w:rPr>
          <w:b/>
        </w:rPr>
        <w:t xml:space="preserve">either </w:t>
      </w:r>
      <w:r>
        <w:t xml:space="preserve">unusual </w:t>
      </w:r>
      <w:r>
        <w:rPr>
          <w:b/>
        </w:rPr>
        <w:t xml:space="preserve">or </w:t>
      </w:r>
      <w:r>
        <w:t xml:space="preserve">occur infrequently, </w:t>
      </w:r>
      <w:r>
        <w:rPr>
          <w:b/>
        </w:rPr>
        <w:t xml:space="preserve">but not both, </w:t>
      </w:r>
      <w:r>
        <w:t>are excluded from the extraordinary item classification. These items are presented with the normal, recurring revenues, costs, and expenses. If material, these items are disclosed separately; if immaterial, they may be combined with other items in the income statement.</w:t>
      </w:r>
    </w:p>
    <w:p w:rsidR="00260BAA" w:rsidRDefault="00260BAA" w:rsidP="00260BAA">
      <w:pPr>
        <w:spacing w:line="280" w:lineRule="exact"/>
      </w:pPr>
    </w:p>
    <w:p w:rsidR="00260BAA" w:rsidRDefault="00260BAA" w:rsidP="00260BAA">
      <w:pPr>
        <w:spacing w:line="280" w:lineRule="exact"/>
        <w:rPr>
          <w:b/>
          <w:u w:val="single"/>
        </w:rPr>
      </w:pPr>
      <w:r>
        <w:rPr>
          <w:b/>
          <w:u w:val="single"/>
        </w:rPr>
        <w:br w:type="page"/>
      </w:r>
      <w:r>
        <w:rPr>
          <w:b/>
          <w:u w:val="single"/>
        </w:rPr>
        <w:lastRenderedPageBreak/>
        <w:t>Changes in Accounting Principles</w:t>
      </w:r>
    </w:p>
    <w:p w:rsidR="00260BAA" w:rsidRDefault="00260BAA" w:rsidP="00260BAA">
      <w:pPr>
        <w:spacing w:line="280" w:lineRule="exact"/>
      </w:pPr>
    </w:p>
    <w:p w:rsidR="00260BAA" w:rsidRDefault="00260BAA" w:rsidP="00260BAA">
      <w:pPr>
        <w:pStyle w:val="Review"/>
        <w:rPr>
          <w:spacing w:val="-2"/>
        </w:rPr>
      </w:pPr>
      <w:r>
        <w:tab/>
        <w:t>12.</w:t>
      </w:r>
      <w:r>
        <w:tab/>
      </w:r>
      <w:r>
        <w:rPr>
          <w:spacing w:val="-2"/>
        </w:rPr>
        <w:t xml:space="preserve">A </w:t>
      </w:r>
      <w:r>
        <w:rPr>
          <w:b/>
          <w:spacing w:val="-2"/>
        </w:rPr>
        <w:t xml:space="preserve">change in accounting principle </w:t>
      </w:r>
      <w:r>
        <w:rPr>
          <w:spacing w:val="-2"/>
        </w:rPr>
        <w:t xml:space="preserve">results when a company adopts a new accounting principle that is different from the one previously used. A company recognizes a change in accounting principle by making a </w:t>
      </w:r>
      <w:r>
        <w:rPr>
          <w:b/>
          <w:spacing w:val="-2"/>
        </w:rPr>
        <w:t>retrospective adjustment</w:t>
      </w:r>
      <w:r>
        <w:rPr>
          <w:spacing w:val="-2"/>
        </w:rPr>
        <w:t xml:space="preserve"> to the financial statements. Such an adjustment recasts the prior years’ statements on a basis consistent with the newly adopted principle. The company records the cumulative effect of the change for prior periods as an adjustment to beginning retained earnings of the earliest year presented.</w:t>
      </w:r>
    </w:p>
    <w:p w:rsidR="00260BAA" w:rsidRDefault="00260BAA" w:rsidP="00260BAA">
      <w:pPr>
        <w:spacing w:line="280" w:lineRule="exact"/>
      </w:pPr>
    </w:p>
    <w:p w:rsidR="00260BAA" w:rsidRDefault="00260BAA" w:rsidP="00260BAA">
      <w:pPr>
        <w:spacing w:line="280" w:lineRule="exact"/>
      </w:pPr>
      <w:r>
        <w:rPr>
          <w:b/>
          <w:u w:val="single"/>
        </w:rPr>
        <w:t>Changes in Estimates</w:t>
      </w:r>
    </w:p>
    <w:p w:rsidR="00260BAA" w:rsidRDefault="00260BAA" w:rsidP="00260BAA">
      <w:pPr>
        <w:spacing w:line="280" w:lineRule="exact"/>
      </w:pPr>
    </w:p>
    <w:p w:rsidR="00260BAA" w:rsidRDefault="00260BAA" w:rsidP="00260BAA">
      <w:pPr>
        <w:pStyle w:val="Review"/>
      </w:pPr>
      <w:r>
        <w:tab/>
        <w:t>13.</w:t>
      </w:r>
      <w:r>
        <w:tab/>
      </w:r>
      <w:r>
        <w:rPr>
          <w:spacing w:val="-4"/>
        </w:rPr>
        <w:t xml:space="preserve">Accountants make extensive use of estimates in preparing financial statements. Adjustments </w:t>
      </w:r>
      <w:r>
        <w:t xml:space="preserve">that grow out of the use of estimates in accounting are used in the determination of income for the current period and future periods and are not charged or credited directly to Retained Earnings. It should be noted that </w:t>
      </w:r>
      <w:r>
        <w:rPr>
          <w:b/>
        </w:rPr>
        <w:t xml:space="preserve">changes in estimates </w:t>
      </w:r>
      <w:r>
        <w:t>are not considered errors (prior period adjustments) or extraordinary items.</w:t>
      </w:r>
    </w:p>
    <w:p w:rsidR="00260BAA" w:rsidRDefault="00260BAA" w:rsidP="00260BAA">
      <w:pPr>
        <w:spacing w:line="280" w:lineRule="exact"/>
      </w:pPr>
    </w:p>
    <w:p w:rsidR="00260BAA" w:rsidRDefault="00260BAA" w:rsidP="00260BAA">
      <w:pPr>
        <w:spacing w:line="280" w:lineRule="exact"/>
        <w:rPr>
          <w:b/>
          <w:u w:val="single"/>
        </w:rPr>
      </w:pPr>
      <w:r>
        <w:rPr>
          <w:b/>
          <w:u w:val="single"/>
        </w:rPr>
        <w:t>Corrections of Errors</w:t>
      </w:r>
    </w:p>
    <w:p w:rsidR="00260BAA" w:rsidRDefault="00260BAA" w:rsidP="00260BAA">
      <w:pPr>
        <w:spacing w:line="280" w:lineRule="exact"/>
      </w:pPr>
    </w:p>
    <w:p w:rsidR="00260BAA" w:rsidRDefault="00260BAA" w:rsidP="00260BAA">
      <w:pPr>
        <w:pStyle w:val="Review"/>
      </w:pPr>
      <w:r>
        <w:tab/>
        <w:t>14.</w:t>
      </w:r>
      <w:r>
        <w:tab/>
        <w:t>Companies must correct errors by making proper entries in the accounts and reporting corrections in the financial statements. Corrections of errors are treated as prior period adjustments, similar to changes in accounting principles. Companies record an error in the year in which it is discovered. They report the effect of the error as an adjustment to the beginning balance of retained earnings. If a company prepares comparative financial statements, it should restate the prior statements for the effects of the error.</w:t>
      </w:r>
    </w:p>
    <w:p w:rsidR="00260BAA" w:rsidRDefault="00260BAA" w:rsidP="00260BAA">
      <w:pPr>
        <w:spacing w:line="280" w:lineRule="exact"/>
        <w:rPr>
          <w:rFonts w:ascii="Times New Roman" w:hAnsi="Times New Roman"/>
          <w:sz w:val="22"/>
        </w:rPr>
      </w:pPr>
    </w:p>
    <w:p w:rsidR="00260BAA" w:rsidRDefault="00260BAA" w:rsidP="00260BAA">
      <w:pPr>
        <w:spacing w:line="280" w:lineRule="exact"/>
        <w:rPr>
          <w:b/>
          <w:u w:val="single"/>
        </w:rPr>
      </w:pPr>
      <w:proofErr w:type="spellStart"/>
      <w:r>
        <w:rPr>
          <w:b/>
          <w:u w:val="single"/>
        </w:rPr>
        <w:t>Intraperiod</w:t>
      </w:r>
      <w:proofErr w:type="spellEnd"/>
      <w:r>
        <w:rPr>
          <w:b/>
          <w:u w:val="single"/>
        </w:rPr>
        <w:t xml:space="preserve"> Tax Allocation</w:t>
      </w:r>
    </w:p>
    <w:p w:rsidR="00260BAA" w:rsidRDefault="00260BAA" w:rsidP="00260BAA">
      <w:pPr>
        <w:spacing w:line="280" w:lineRule="exact"/>
      </w:pPr>
    </w:p>
    <w:p w:rsidR="00260BAA" w:rsidRDefault="00260BAA" w:rsidP="00260BAA">
      <w:pPr>
        <w:pStyle w:val="Review"/>
      </w:pPr>
      <w:r>
        <w:tab/>
        <w:t>15.</w:t>
      </w:r>
      <w:r>
        <w:tab/>
      </w:r>
      <w:proofErr w:type="spellStart"/>
      <w:r>
        <w:rPr>
          <w:b/>
        </w:rPr>
        <w:t>Intraperiod</w:t>
      </w:r>
      <w:proofErr w:type="spellEnd"/>
      <w:r>
        <w:rPr>
          <w:b/>
        </w:rPr>
        <w:t xml:space="preserve"> tax allocation </w:t>
      </w:r>
      <w:r>
        <w:t xml:space="preserve">is the process of relating the income tax effect of an unusual item to that item when it appears on the income statement. Income tax expense related to </w:t>
      </w:r>
      <w:r>
        <w:rPr>
          <w:b/>
        </w:rPr>
        <w:t xml:space="preserve">continuing operations </w:t>
      </w:r>
      <w:r>
        <w:t>is shown on the income statement at its appropriately computed amount. All other items included in the determination of net income should be shown net of their related tax effect. The tax amount may be disclosed in the income statement or in a footnote.</w:t>
      </w:r>
    </w:p>
    <w:p w:rsidR="00260BAA" w:rsidRDefault="00260BAA" w:rsidP="00260BAA">
      <w:pPr>
        <w:spacing w:line="280" w:lineRule="exact"/>
      </w:pPr>
    </w:p>
    <w:p w:rsidR="00260BAA" w:rsidRDefault="00260BAA" w:rsidP="00260BAA">
      <w:pPr>
        <w:spacing w:line="280" w:lineRule="exact"/>
      </w:pPr>
      <w:r>
        <w:rPr>
          <w:b/>
          <w:u w:val="single"/>
        </w:rPr>
        <w:t>Earnings per Share</w:t>
      </w:r>
    </w:p>
    <w:p w:rsidR="00260BAA" w:rsidRDefault="00260BAA" w:rsidP="00260BAA">
      <w:pPr>
        <w:spacing w:line="280" w:lineRule="exact"/>
      </w:pPr>
    </w:p>
    <w:p w:rsidR="00260BAA" w:rsidRDefault="00260BAA" w:rsidP="00260BAA">
      <w:pPr>
        <w:pStyle w:val="Review"/>
      </w:pPr>
      <w:r>
        <w:tab/>
        <w:t>16.</w:t>
      </w:r>
      <w:r>
        <w:tab/>
      </w:r>
      <w:r>
        <w:rPr>
          <w:spacing w:val="-2"/>
        </w:rPr>
        <w:t xml:space="preserve">In general, </w:t>
      </w:r>
      <w:r>
        <w:rPr>
          <w:b/>
          <w:spacing w:val="-2"/>
        </w:rPr>
        <w:t xml:space="preserve">earnings per share </w:t>
      </w:r>
      <w:r>
        <w:rPr>
          <w:spacing w:val="-2"/>
        </w:rPr>
        <w:t xml:space="preserve">represents the ratio of net income minus preferred </w:t>
      </w:r>
      <w:r>
        <w:t xml:space="preserve">dividends (income available to common shareholders) divided by the weighted </w:t>
      </w:r>
      <w:r>
        <w:rPr>
          <w:spacing w:val="-4"/>
        </w:rPr>
        <w:t xml:space="preserve">average number of common shares outstanding. It is considered by many financial statement </w:t>
      </w:r>
      <w:r>
        <w:t xml:space="preserve">users to be the most significant statistic presented in the financial statements, and </w:t>
      </w:r>
      <w:r>
        <w:rPr>
          <w:b/>
        </w:rPr>
        <w:t xml:space="preserve">must be disclosed on the face of the income statement. </w:t>
      </w:r>
      <w:r>
        <w:t xml:space="preserve">Per share amounts for gain or loss on discontinued operations and gain or loss on </w:t>
      </w:r>
      <w:r>
        <w:lastRenderedPageBreak/>
        <w:t>extraordinary items must be disclosed on the face of the income statement or in the notes to the financial statements.</w:t>
      </w:r>
    </w:p>
    <w:p w:rsidR="00260BAA" w:rsidRDefault="00260BAA" w:rsidP="00260BAA">
      <w:pPr>
        <w:spacing w:line="280" w:lineRule="exact"/>
      </w:pPr>
    </w:p>
    <w:p w:rsidR="00260BAA" w:rsidRDefault="00260BAA" w:rsidP="00260BAA">
      <w:pPr>
        <w:spacing w:line="280" w:lineRule="exact"/>
        <w:rPr>
          <w:b/>
          <w:u w:val="single"/>
        </w:rPr>
      </w:pPr>
      <w:r>
        <w:rPr>
          <w:b/>
          <w:u w:val="single"/>
        </w:rPr>
        <w:t>Retained Earnings</w:t>
      </w:r>
    </w:p>
    <w:p w:rsidR="00260BAA" w:rsidRDefault="00260BAA" w:rsidP="00260BAA">
      <w:pPr>
        <w:spacing w:line="280" w:lineRule="exact"/>
      </w:pPr>
    </w:p>
    <w:p w:rsidR="00260BAA" w:rsidRDefault="00260BAA" w:rsidP="00260BAA">
      <w:pPr>
        <w:pStyle w:val="Review"/>
      </w:pPr>
      <w:r>
        <w:tab/>
        <w:t>17.</w:t>
      </w:r>
      <w:r>
        <w:tab/>
      </w:r>
      <w:r>
        <w:rPr>
          <w:spacing w:val="-2"/>
        </w:rPr>
        <w:t xml:space="preserve">The </w:t>
      </w:r>
      <w:r>
        <w:rPr>
          <w:b/>
          <w:spacing w:val="-2"/>
        </w:rPr>
        <w:t>retained earnings statement</w:t>
      </w:r>
      <w:r>
        <w:rPr>
          <w:spacing w:val="-2"/>
        </w:rPr>
        <w:t xml:space="preserve"> serves to reconcile the balance of the retained earnings account from the beginning to the end of the year. The important information communicated by the retained earnings statement includes: (a) prior period adjustments (income or loss related to corrections of errors in the financial statements of a prior period net of tax), (b) changes in accounting principle, (c) the relationship of dividend </w:t>
      </w:r>
      <w:r>
        <w:rPr>
          <w:spacing w:val="-4"/>
        </w:rPr>
        <w:t>distributions to net income for the period, and (d) any transfers to and from retained earnings.</w:t>
      </w:r>
    </w:p>
    <w:p w:rsidR="00260BAA" w:rsidRDefault="00260BAA" w:rsidP="00260BAA">
      <w:pPr>
        <w:spacing w:line="280" w:lineRule="exact"/>
      </w:pPr>
    </w:p>
    <w:p w:rsidR="00260BAA" w:rsidRDefault="00260BAA" w:rsidP="00260BAA">
      <w:pPr>
        <w:spacing w:line="280" w:lineRule="exact"/>
      </w:pPr>
      <w:r>
        <w:rPr>
          <w:b/>
          <w:u w:val="single"/>
        </w:rPr>
        <w:t>Comprehensive Income</w:t>
      </w:r>
    </w:p>
    <w:p w:rsidR="00260BAA" w:rsidRDefault="00260BAA" w:rsidP="00260BAA">
      <w:pPr>
        <w:spacing w:line="280" w:lineRule="exact"/>
      </w:pPr>
    </w:p>
    <w:p w:rsidR="00C03401" w:rsidRDefault="00260BAA" w:rsidP="00260BAA">
      <w:pPr>
        <w:pStyle w:val="Review"/>
      </w:pPr>
      <w:r>
        <w:t>18.</w:t>
      </w:r>
      <w:r>
        <w:tab/>
      </w:r>
      <w:r>
        <w:tab/>
        <w:t xml:space="preserve">Items that bypass the income statement are included under the concept of comprehensive income. </w:t>
      </w:r>
      <w:r w:rsidRPr="00260BAA">
        <w:t>Comprehensive income</w:t>
      </w:r>
      <w:r>
        <w:t xml:space="preserve"> includes all changes in equity during a period except those resulting from investments by owners and distributions to owners. </w:t>
      </w:r>
      <w:r w:rsidRPr="00260BAA">
        <w:t>The FASB evaluated approaches to providing more information about other compr</w:t>
      </w:r>
      <w:r>
        <w:t xml:space="preserve">ehensive income items. It decided that the components of other comprehensive income must be displayed in one of three ways: (1) a second income statement; </w:t>
      </w:r>
      <w:r w:rsidRPr="00260BAA">
        <w:t xml:space="preserve">(2) a combined income statement of comprehensive income, or (3) as part of the statement </w:t>
      </w:r>
      <w:r>
        <w:t>of stockholders’ equity.</w:t>
      </w:r>
    </w:p>
    <w:sectPr w:rsidR="00C034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315749"/>
    <w:multiLevelType w:val="hybridMultilevel"/>
    <w:tmpl w:val="B1827E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0BAA"/>
    <w:rsid w:val="00260BAA"/>
    <w:rsid w:val="00C03401"/>
    <w:rsid w:val="00FE44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BAA"/>
    <w:pPr>
      <w:spacing w:after="0" w:line="240" w:lineRule="auto"/>
    </w:pPr>
    <w:rPr>
      <w:rFonts w:ascii="Helvetica" w:eastAsia="Times New Roman" w:hAnsi="Helvetic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rsid w:val="00260BAA"/>
    <w:pPr>
      <w:spacing w:after="0" w:line="240" w:lineRule="auto"/>
    </w:pPr>
    <w:rPr>
      <w:rFonts w:ascii="Helvetica" w:eastAsia="Times New Roman" w:hAnsi="Helvetica" w:cs="Times New Roman"/>
      <w:b/>
      <w:sz w:val="28"/>
      <w:szCs w:val="20"/>
    </w:rPr>
  </w:style>
  <w:style w:type="paragraph" w:customStyle="1" w:styleId="Review">
    <w:name w:val="Review"/>
    <w:basedOn w:val="BlockText"/>
    <w:rsid w:val="00260BAA"/>
    <w:pPr>
      <w:pBdr>
        <w:top w:val="none" w:sz="0" w:space="0" w:color="auto"/>
        <w:left w:val="none" w:sz="0" w:space="0" w:color="auto"/>
        <w:bottom w:val="none" w:sz="0" w:space="0" w:color="auto"/>
        <w:right w:val="none" w:sz="0" w:space="0" w:color="auto"/>
      </w:pBdr>
      <w:tabs>
        <w:tab w:val="right" w:pos="360"/>
        <w:tab w:val="left" w:pos="540"/>
      </w:tabs>
      <w:spacing w:line="280" w:lineRule="exact"/>
      <w:ind w:left="547" w:right="0" w:hanging="547"/>
      <w:jc w:val="both"/>
    </w:pPr>
    <w:rPr>
      <w:rFonts w:ascii="Helvetica" w:eastAsia="Times New Roman" w:hAnsi="Helvetica" w:cs="Times New Roman"/>
      <w:i w:val="0"/>
      <w:iCs w:val="0"/>
      <w:color w:val="auto"/>
    </w:rPr>
  </w:style>
  <w:style w:type="paragraph" w:customStyle="1" w:styleId="Review2">
    <w:name w:val="Review 2"/>
    <w:basedOn w:val="Normal"/>
    <w:rsid w:val="00260BAA"/>
    <w:pPr>
      <w:tabs>
        <w:tab w:val="left" w:pos="540"/>
        <w:tab w:val="left" w:pos="907"/>
      </w:tabs>
      <w:overflowPunct w:val="0"/>
      <w:autoSpaceDE w:val="0"/>
      <w:autoSpaceDN w:val="0"/>
      <w:adjustRightInd w:val="0"/>
      <w:spacing w:line="280" w:lineRule="exact"/>
      <w:ind w:left="907" w:hanging="907"/>
      <w:jc w:val="both"/>
    </w:pPr>
  </w:style>
  <w:style w:type="paragraph" w:customStyle="1" w:styleId="Review3">
    <w:name w:val="Review 3"/>
    <w:basedOn w:val="Normal"/>
    <w:rsid w:val="00260BAA"/>
    <w:pPr>
      <w:tabs>
        <w:tab w:val="left" w:pos="907"/>
        <w:tab w:val="left" w:pos="1440"/>
      </w:tabs>
      <w:spacing w:line="280" w:lineRule="exact"/>
      <w:ind w:left="1440" w:hanging="1440"/>
    </w:pPr>
  </w:style>
  <w:style w:type="paragraph" w:styleId="Title">
    <w:name w:val="Title"/>
    <w:basedOn w:val="Normal"/>
    <w:link w:val="TitleChar"/>
    <w:qFormat/>
    <w:rsid w:val="00260BAA"/>
    <w:pPr>
      <w:jc w:val="center"/>
    </w:pPr>
    <w:rPr>
      <w:b/>
      <w:sz w:val="48"/>
    </w:rPr>
  </w:style>
  <w:style w:type="character" w:customStyle="1" w:styleId="TitleChar">
    <w:name w:val="Title Char"/>
    <w:basedOn w:val="DefaultParagraphFont"/>
    <w:link w:val="Title"/>
    <w:rsid w:val="00260BAA"/>
    <w:rPr>
      <w:rFonts w:ascii="Helvetica" w:eastAsia="Times New Roman" w:hAnsi="Helvetica" w:cs="Times New Roman"/>
      <w:b/>
      <w:sz w:val="48"/>
      <w:szCs w:val="20"/>
    </w:rPr>
  </w:style>
  <w:style w:type="paragraph" w:styleId="Subtitle">
    <w:name w:val="Subtitle"/>
    <w:basedOn w:val="Normal"/>
    <w:link w:val="SubtitleChar"/>
    <w:qFormat/>
    <w:rsid w:val="00260BAA"/>
    <w:pPr>
      <w:jc w:val="center"/>
    </w:pPr>
    <w:rPr>
      <w:rFonts w:ascii="Arial" w:hAnsi="Arial"/>
      <w:b/>
    </w:rPr>
  </w:style>
  <w:style w:type="character" w:customStyle="1" w:styleId="SubtitleChar">
    <w:name w:val="Subtitle Char"/>
    <w:basedOn w:val="DefaultParagraphFont"/>
    <w:link w:val="Subtitle"/>
    <w:rsid w:val="00260BAA"/>
    <w:rPr>
      <w:rFonts w:ascii="Arial" w:eastAsia="Times New Roman" w:hAnsi="Arial" w:cs="Times New Roman"/>
      <w:b/>
      <w:sz w:val="24"/>
      <w:szCs w:val="20"/>
    </w:rPr>
  </w:style>
  <w:style w:type="paragraph" w:styleId="BlockText">
    <w:name w:val="Block Text"/>
    <w:basedOn w:val="Normal"/>
    <w:uiPriority w:val="99"/>
    <w:semiHidden/>
    <w:unhideWhenUsed/>
    <w:rsid w:val="00260BAA"/>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BAA"/>
    <w:pPr>
      <w:spacing w:after="0" w:line="240" w:lineRule="auto"/>
    </w:pPr>
    <w:rPr>
      <w:rFonts w:ascii="Helvetica" w:eastAsia="Times New Roman" w:hAnsi="Helvetic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rsid w:val="00260BAA"/>
    <w:pPr>
      <w:spacing w:after="0" w:line="240" w:lineRule="auto"/>
    </w:pPr>
    <w:rPr>
      <w:rFonts w:ascii="Helvetica" w:eastAsia="Times New Roman" w:hAnsi="Helvetica" w:cs="Times New Roman"/>
      <w:b/>
      <w:sz w:val="28"/>
      <w:szCs w:val="20"/>
    </w:rPr>
  </w:style>
  <w:style w:type="paragraph" w:customStyle="1" w:styleId="Review">
    <w:name w:val="Review"/>
    <w:basedOn w:val="BlockText"/>
    <w:rsid w:val="00260BAA"/>
    <w:pPr>
      <w:pBdr>
        <w:top w:val="none" w:sz="0" w:space="0" w:color="auto"/>
        <w:left w:val="none" w:sz="0" w:space="0" w:color="auto"/>
        <w:bottom w:val="none" w:sz="0" w:space="0" w:color="auto"/>
        <w:right w:val="none" w:sz="0" w:space="0" w:color="auto"/>
      </w:pBdr>
      <w:tabs>
        <w:tab w:val="right" w:pos="360"/>
        <w:tab w:val="left" w:pos="540"/>
      </w:tabs>
      <w:spacing w:line="280" w:lineRule="exact"/>
      <w:ind w:left="547" w:right="0" w:hanging="547"/>
      <w:jc w:val="both"/>
    </w:pPr>
    <w:rPr>
      <w:rFonts w:ascii="Helvetica" w:eastAsia="Times New Roman" w:hAnsi="Helvetica" w:cs="Times New Roman"/>
      <w:i w:val="0"/>
      <w:iCs w:val="0"/>
      <w:color w:val="auto"/>
    </w:rPr>
  </w:style>
  <w:style w:type="paragraph" w:customStyle="1" w:styleId="Review2">
    <w:name w:val="Review 2"/>
    <w:basedOn w:val="Normal"/>
    <w:rsid w:val="00260BAA"/>
    <w:pPr>
      <w:tabs>
        <w:tab w:val="left" w:pos="540"/>
        <w:tab w:val="left" w:pos="907"/>
      </w:tabs>
      <w:overflowPunct w:val="0"/>
      <w:autoSpaceDE w:val="0"/>
      <w:autoSpaceDN w:val="0"/>
      <w:adjustRightInd w:val="0"/>
      <w:spacing w:line="280" w:lineRule="exact"/>
      <w:ind w:left="907" w:hanging="907"/>
      <w:jc w:val="both"/>
    </w:pPr>
  </w:style>
  <w:style w:type="paragraph" w:customStyle="1" w:styleId="Review3">
    <w:name w:val="Review 3"/>
    <w:basedOn w:val="Normal"/>
    <w:rsid w:val="00260BAA"/>
    <w:pPr>
      <w:tabs>
        <w:tab w:val="left" w:pos="907"/>
        <w:tab w:val="left" w:pos="1440"/>
      </w:tabs>
      <w:spacing w:line="280" w:lineRule="exact"/>
      <w:ind w:left="1440" w:hanging="1440"/>
    </w:pPr>
  </w:style>
  <w:style w:type="paragraph" w:styleId="Title">
    <w:name w:val="Title"/>
    <w:basedOn w:val="Normal"/>
    <w:link w:val="TitleChar"/>
    <w:qFormat/>
    <w:rsid w:val="00260BAA"/>
    <w:pPr>
      <w:jc w:val="center"/>
    </w:pPr>
    <w:rPr>
      <w:b/>
      <w:sz w:val="48"/>
    </w:rPr>
  </w:style>
  <w:style w:type="character" w:customStyle="1" w:styleId="TitleChar">
    <w:name w:val="Title Char"/>
    <w:basedOn w:val="DefaultParagraphFont"/>
    <w:link w:val="Title"/>
    <w:rsid w:val="00260BAA"/>
    <w:rPr>
      <w:rFonts w:ascii="Helvetica" w:eastAsia="Times New Roman" w:hAnsi="Helvetica" w:cs="Times New Roman"/>
      <w:b/>
      <w:sz w:val="48"/>
      <w:szCs w:val="20"/>
    </w:rPr>
  </w:style>
  <w:style w:type="paragraph" w:styleId="Subtitle">
    <w:name w:val="Subtitle"/>
    <w:basedOn w:val="Normal"/>
    <w:link w:val="SubtitleChar"/>
    <w:qFormat/>
    <w:rsid w:val="00260BAA"/>
    <w:pPr>
      <w:jc w:val="center"/>
    </w:pPr>
    <w:rPr>
      <w:rFonts w:ascii="Arial" w:hAnsi="Arial"/>
      <w:b/>
    </w:rPr>
  </w:style>
  <w:style w:type="character" w:customStyle="1" w:styleId="SubtitleChar">
    <w:name w:val="Subtitle Char"/>
    <w:basedOn w:val="DefaultParagraphFont"/>
    <w:link w:val="Subtitle"/>
    <w:rsid w:val="00260BAA"/>
    <w:rPr>
      <w:rFonts w:ascii="Arial" w:eastAsia="Times New Roman" w:hAnsi="Arial" w:cs="Times New Roman"/>
      <w:b/>
      <w:sz w:val="24"/>
      <w:szCs w:val="20"/>
    </w:rPr>
  </w:style>
  <w:style w:type="paragraph" w:styleId="BlockText">
    <w:name w:val="Block Text"/>
    <w:basedOn w:val="Normal"/>
    <w:uiPriority w:val="99"/>
    <w:semiHidden/>
    <w:unhideWhenUsed/>
    <w:rsid w:val="00260BAA"/>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1469</Words>
  <Characters>8378</Characters>
  <Application>Microsoft Office Word</Application>
  <DocSecurity>0</DocSecurity>
  <Lines>69</Lines>
  <Paragraphs>19</Paragraphs>
  <ScaleCrop>false</ScaleCrop>
  <Company/>
  <LinksUpToDate>false</LinksUpToDate>
  <CharactersWithSpaces>9828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dc:creator>
  <cp:lastModifiedBy>ADNAN</cp:lastModifiedBy>
  <cp:revision>2</cp:revision>
  <dcterms:created xsi:type="dcterms:W3CDTF">2012-12-30T16:18:00Z</dcterms:created>
  <dcterms:modified xsi:type="dcterms:W3CDTF">2012-12-30T22:10:00Z</dcterms:modified>
</cp:coreProperties>
</file>