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108" w:rsidRDefault="00FE1108" w:rsidP="00FE1108">
      <w:pPr>
        <w:pStyle w:val="h1"/>
        <w:jc w:val="center"/>
        <w:rPr>
          <w:u w:val="single"/>
        </w:rPr>
      </w:pPr>
      <w:r w:rsidRPr="00FE1108">
        <w:rPr>
          <w:u w:val="single"/>
        </w:rPr>
        <w:t>Lecture 0</w:t>
      </w:r>
      <w:r w:rsidR="008900BE">
        <w:rPr>
          <w:u w:val="single"/>
        </w:rPr>
        <w:t>2</w:t>
      </w:r>
    </w:p>
    <w:p w:rsidR="00757A87" w:rsidRPr="00FE1108" w:rsidRDefault="00757A87" w:rsidP="00FE1108">
      <w:pPr>
        <w:pStyle w:val="h1"/>
        <w:jc w:val="center"/>
        <w:rPr>
          <w:u w:val="single"/>
        </w:rPr>
      </w:pPr>
      <w:r>
        <w:rPr>
          <w:u w:val="single"/>
        </w:rPr>
        <w:t>Financial Accounting and Accounting Standards</w:t>
      </w:r>
    </w:p>
    <w:p w:rsidR="00FE1108" w:rsidRDefault="00FE1108" w:rsidP="00FE1108">
      <w:pPr>
        <w:tabs>
          <w:tab w:val="left" w:pos="-1440"/>
          <w:tab w:val="left" w:pos="-720"/>
          <w:tab w:val="right" w:pos="630"/>
          <w:tab w:val="left" w:pos="864"/>
        </w:tabs>
        <w:jc w:val="both"/>
        <w:rPr>
          <w:rFonts w:ascii="Helvetica" w:hAnsi="Helvetica"/>
        </w:rPr>
      </w:pPr>
    </w:p>
    <w:p w:rsidR="00FE1108" w:rsidRDefault="00FE1108" w:rsidP="00FE1108">
      <w:pPr>
        <w:tabs>
          <w:tab w:val="left" w:pos="-1440"/>
          <w:tab w:val="left" w:pos="-720"/>
          <w:tab w:val="right" w:pos="630"/>
          <w:tab w:val="left" w:pos="864"/>
        </w:tabs>
        <w:spacing w:line="280" w:lineRule="exact"/>
        <w:jc w:val="both"/>
        <w:rPr>
          <w:rFonts w:ascii="Helvetica" w:hAnsi="Helvetica"/>
        </w:rPr>
      </w:pPr>
    </w:p>
    <w:p w:rsidR="00FE1108" w:rsidRDefault="00FE1108" w:rsidP="00FE1108">
      <w:pPr>
        <w:tabs>
          <w:tab w:val="left" w:pos="-1440"/>
          <w:tab w:val="left" w:pos="-720"/>
          <w:tab w:val="right" w:pos="630"/>
          <w:tab w:val="left" w:pos="864"/>
        </w:tabs>
        <w:spacing w:line="280" w:lineRule="exact"/>
        <w:jc w:val="both"/>
        <w:rPr>
          <w:rFonts w:ascii="Helvetica" w:hAnsi="Helvetica"/>
        </w:rPr>
      </w:pPr>
      <w:r>
        <w:rPr>
          <w:rFonts w:ascii="Helvetica" w:hAnsi="Helvetica"/>
          <w:b/>
          <w:u w:val="single"/>
        </w:rPr>
        <w:t>Nature of Financial Accounting</w:t>
      </w:r>
    </w:p>
    <w:p w:rsidR="00FE1108" w:rsidRDefault="00FE1108" w:rsidP="00FE1108">
      <w:pPr>
        <w:tabs>
          <w:tab w:val="left" w:pos="-1440"/>
          <w:tab w:val="left" w:pos="-720"/>
          <w:tab w:val="right" w:pos="630"/>
          <w:tab w:val="left" w:pos="864"/>
        </w:tabs>
        <w:spacing w:line="280" w:lineRule="exact"/>
        <w:jc w:val="both"/>
        <w:rPr>
          <w:rFonts w:ascii="Helvetica" w:hAnsi="Helvetica"/>
        </w:rPr>
      </w:pPr>
    </w:p>
    <w:p w:rsidR="00FE1108" w:rsidRDefault="00FE1108" w:rsidP="00FE1108">
      <w:pPr>
        <w:pStyle w:val="Review"/>
      </w:pPr>
      <w:r>
        <w:tab/>
      </w:r>
      <w:r w:rsidR="004955AC">
        <w:t>1</w:t>
      </w:r>
      <w:r>
        <w:t>.</w:t>
      </w:r>
      <w:r>
        <w:tab/>
        <w:t>The essential characteristics of accounting are (1) the identification, measure</w:t>
      </w:r>
      <w:r>
        <w:softHyphen/>
        <w:t xml:space="preserve">ment, and communication of financial information about (2) economic entities to </w:t>
      </w:r>
      <w:r>
        <w:br/>
        <w:t xml:space="preserve">(3) interested parties. </w:t>
      </w:r>
      <w:r>
        <w:rPr>
          <w:b/>
        </w:rPr>
        <w:t>Financial accounting</w:t>
      </w:r>
      <w:r>
        <w:t xml:space="preserve"> is the process that culminates in the preparation of financial reports on the enterprise for use by both internal and external parties.</w:t>
      </w:r>
    </w:p>
    <w:p w:rsidR="00FE1108" w:rsidRDefault="00FE1108" w:rsidP="00FE1108">
      <w:pPr>
        <w:pStyle w:val="Review"/>
      </w:pPr>
    </w:p>
    <w:p w:rsidR="00FE1108" w:rsidRDefault="00FE1108" w:rsidP="00FE1108">
      <w:pPr>
        <w:pStyle w:val="Review"/>
      </w:pPr>
      <w:r>
        <w:tab/>
      </w:r>
      <w:r w:rsidR="004955AC">
        <w:t>2</w:t>
      </w:r>
      <w:r>
        <w:t>.</w:t>
      </w:r>
      <w:r>
        <w:tab/>
      </w:r>
      <w:r>
        <w:rPr>
          <w:b/>
        </w:rPr>
        <w:t>Financial statements</w:t>
      </w:r>
      <w:r>
        <w:t xml:space="preserve"> are the principal means through which a company communicates its financial information to those outside it. The financial statements most frequently provided are (1) the balance sheet, (2) the income statement, (3) the statement of cash flows, and (4) the statement of owners’ or stockholders’ equity. Other means of financial reporting include the president’s letter or supplementary schedules in the corporate annual report, prospectuses, reports filed with government agencies, news releases, management forecasts, and social or environmental impact statements.</w:t>
      </w:r>
    </w:p>
    <w:p w:rsidR="00FE1108" w:rsidRDefault="00FE1108" w:rsidP="00FE1108">
      <w:pPr>
        <w:pStyle w:val="Review"/>
      </w:pPr>
    </w:p>
    <w:p w:rsidR="00FE1108" w:rsidRDefault="00FE1108" w:rsidP="00FE1108">
      <w:pPr>
        <w:pStyle w:val="Review"/>
      </w:pPr>
      <w:r>
        <w:tab/>
      </w:r>
      <w:r w:rsidR="004955AC">
        <w:t>3</w:t>
      </w:r>
      <w:r>
        <w:t>.</w:t>
      </w:r>
      <w:r>
        <w:tab/>
        <w:t xml:space="preserve">Accounting is important for markets, free enterprise, and competition because it assists in providing information that leads to capital allocation. </w:t>
      </w:r>
      <w:proofErr w:type="gramStart"/>
      <w:r>
        <w:t>The better the information, the more effective the process of capital allocation and then the healthier the economy.</w:t>
      </w:r>
      <w:proofErr w:type="gramEnd"/>
    </w:p>
    <w:p w:rsidR="00FE1108" w:rsidRDefault="00FE1108" w:rsidP="00FE1108">
      <w:pPr>
        <w:pStyle w:val="Review"/>
      </w:pPr>
    </w:p>
    <w:p w:rsidR="00FE1108" w:rsidRDefault="00FE1108" w:rsidP="00FE1108">
      <w:pPr>
        <w:pStyle w:val="Review"/>
      </w:pPr>
      <w:r>
        <w:rPr>
          <w:b/>
          <w:u w:val="single"/>
        </w:rPr>
        <w:t>Objective of Financial Reporting</w:t>
      </w:r>
    </w:p>
    <w:p w:rsidR="00FE1108" w:rsidRDefault="00FE1108" w:rsidP="00FE1108">
      <w:pPr>
        <w:pStyle w:val="Review"/>
      </w:pPr>
    </w:p>
    <w:p w:rsidR="00FE1108" w:rsidRDefault="00FE1108" w:rsidP="00FE1108">
      <w:pPr>
        <w:pStyle w:val="Review"/>
      </w:pPr>
      <w:r>
        <w:tab/>
      </w:r>
      <w:r w:rsidR="004955AC">
        <w:t>4</w:t>
      </w:r>
      <w:r>
        <w:t>.</w:t>
      </w:r>
      <w:r>
        <w:tab/>
        <w:t>The objective of general-purpose financial reporting is to provide financial information about the reporting entity that is useful to present and potential equity investors, lenders, and other creditors. General-purpose financial statements provide financial reporting information to a wide variety of users.</w:t>
      </w:r>
    </w:p>
    <w:p w:rsidR="00FE1108" w:rsidRDefault="00FE1108" w:rsidP="00FE1108">
      <w:pPr>
        <w:pStyle w:val="Review"/>
      </w:pPr>
    </w:p>
    <w:p w:rsidR="00FE1108" w:rsidRDefault="00FE1108" w:rsidP="00FE1108">
      <w:pPr>
        <w:pStyle w:val="Review"/>
      </w:pPr>
      <w:r>
        <w:tab/>
      </w:r>
      <w:r w:rsidR="004955AC">
        <w:t>5</w:t>
      </w:r>
      <w:r>
        <w:t>.</w:t>
      </w:r>
      <w:r>
        <w:tab/>
        <w:t xml:space="preserve">The objective of financial reporting identifies investors and creditors as the primary </w:t>
      </w:r>
      <w:r w:rsidR="00B65B2F">
        <w:t>users for</w:t>
      </w:r>
      <w:r>
        <w:t xml:space="preserve"> general-purpose financial statements. As part of the objective of general-purpose financial reporting, an entity perspective is adopted. Companies are viewed as separate and distinct from their owners. When making decisions, investors are interested in assessing (1) the company’s ability to generate net cash inflows and (2) management’s ability to protect and enhance the capital providers’ investments.</w:t>
      </w:r>
    </w:p>
    <w:p w:rsidR="00FE1108" w:rsidRDefault="00FE1108" w:rsidP="00FE1108">
      <w:pPr>
        <w:pStyle w:val="Review"/>
      </w:pPr>
    </w:p>
    <w:p w:rsidR="00FE1108" w:rsidRDefault="00FE1108" w:rsidP="00FE1108">
      <w:pPr>
        <w:pStyle w:val="Review"/>
      </w:pPr>
      <w:r>
        <w:tab/>
      </w:r>
      <w:r w:rsidR="004955AC">
        <w:t>6</w:t>
      </w:r>
      <w:bookmarkStart w:id="0" w:name="_GoBack"/>
      <w:bookmarkEnd w:id="0"/>
      <w:r>
        <w:t>.</w:t>
      </w:r>
      <w:r>
        <w:tab/>
        <w:t xml:space="preserve">The accounting profession has developed a common set of standards and procedures known as </w:t>
      </w:r>
      <w:r>
        <w:rPr>
          <w:b/>
        </w:rPr>
        <w:t xml:space="preserve">generally accepted accounting principles (GAAP). </w:t>
      </w:r>
      <w:r>
        <w:t>These prin</w:t>
      </w:r>
      <w:r>
        <w:softHyphen/>
        <w:t>ciples serve as a general guide to the accounting practitioner in accumulating and reporting the financial information of a business enterprise.</w:t>
      </w:r>
    </w:p>
    <w:p w:rsidR="00FE1108" w:rsidRDefault="00FE1108" w:rsidP="00FE1108">
      <w:pPr>
        <w:tabs>
          <w:tab w:val="left" w:pos="-1440"/>
          <w:tab w:val="left" w:pos="-720"/>
          <w:tab w:val="right" w:pos="630"/>
          <w:tab w:val="left" w:pos="864"/>
        </w:tabs>
        <w:spacing w:line="280" w:lineRule="exact"/>
        <w:jc w:val="both"/>
        <w:rPr>
          <w:rFonts w:ascii="Helvetica" w:hAnsi="Helvetica"/>
          <w:b/>
          <w:u w:val="single"/>
        </w:rPr>
      </w:pPr>
      <w:r>
        <w:rPr>
          <w:rFonts w:ascii="Helvetica" w:hAnsi="Helvetica"/>
          <w:b/>
          <w:u w:val="single"/>
        </w:rPr>
        <w:br w:type="page"/>
      </w:r>
      <w:r>
        <w:rPr>
          <w:rFonts w:ascii="Helvetica" w:hAnsi="Helvetica"/>
          <w:b/>
          <w:u w:val="single"/>
        </w:rPr>
        <w:lastRenderedPageBreak/>
        <w:t>Securities and Exchange Commission (SEC)</w:t>
      </w:r>
    </w:p>
    <w:p w:rsidR="00FE1108" w:rsidRDefault="00FE1108" w:rsidP="00FE1108">
      <w:pPr>
        <w:tabs>
          <w:tab w:val="left" w:pos="-1440"/>
          <w:tab w:val="left" w:pos="-720"/>
          <w:tab w:val="right" w:pos="630"/>
          <w:tab w:val="left" w:pos="864"/>
        </w:tabs>
        <w:spacing w:line="280" w:lineRule="exact"/>
        <w:jc w:val="both"/>
        <w:rPr>
          <w:rFonts w:ascii="Helvetica" w:hAnsi="Helvetica"/>
        </w:rPr>
      </w:pPr>
    </w:p>
    <w:p w:rsidR="00FE1108" w:rsidRDefault="00FE1108" w:rsidP="00FE1108">
      <w:pPr>
        <w:pStyle w:val="Review"/>
      </w:pPr>
      <w:r>
        <w:tab/>
        <w:t>8.</w:t>
      </w:r>
      <w:r>
        <w:tab/>
        <w:t xml:space="preserve">After the stock market crash in 1929 and the Great Depression, there were calls for increased government regulation and supervision—especially of financial institutions and the stock market. As a result, the federal government established the Securities and </w:t>
      </w:r>
      <w:r>
        <w:rPr>
          <w:spacing w:val="-2"/>
        </w:rPr>
        <w:t xml:space="preserve">Exchange Commission (SEC) to help develop and standardize financial information presented to stockholders. The SEC is a federal agency and administers the Securities </w:t>
      </w:r>
      <w:r>
        <w:t>Exchange Act of 1934 and several other acts. Most companies that issue securities to the public or are listed on a stock exchange are required to file audited financial statements with the SEC. In addition, the SEC has broad powers to prescribe the accounting practices and standards to be employed by companies that fall within its jurisdiction.</w:t>
      </w:r>
    </w:p>
    <w:p w:rsidR="00FE1108" w:rsidRDefault="00FE1108" w:rsidP="00FE1108">
      <w:pPr>
        <w:pStyle w:val="Review"/>
      </w:pPr>
    </w:p>
    <w:p w:rsidR="00FE1108" w:rsidRDefault="00FE1108" w:rsidP="00FE1108">
      <w:pPr>
        <w:pStyle w:val="Review"/>
      </w:pPr>
      <w:r>
        <w:tab/>
        <w:t>9.</w:t>
      </w:r>
      <w:r>
        <w:tab/>
        <w:t>At the time the SEC was created, it encouraged the creation of a private standards-setting body. As a result, accounting standards have generally been developed in the private sector either through the American Institute of Certified Public Accountants (AICPA) or the Financial Accounting Standards Board (FASB). The SEC has affirmed its support for the FASB by indicating that financial statements conforming to standards set by the FASB will be presumed to have substantial authoritative support.</w:t>
      </w:r>
    </w:p>
    <w:p w:rsidR="00FE1108" w:rsidRDefault="00FE1108" w:rsidP="00FE1108">
      <w:pPr>
        <w:pStyle w:val="Review"/>
        <w:spacing w:line="240" w:lineRule="exact"/>
      </w:pPr>
    </w:p>
    <w:p w:rsidR="00FE1108" w:rsidRDefault="00FE1108" w:rsidP="00FE1108">
      <w:pPr>
        <w:pStyle w:val="Review"/>
      </w:pPr>
      <w:r>
        <w:tab/>
        <w:t>10.</w:t>
      </w:r>
      <w:r>
        <w:tab/>
        <w:t>Over its history, the SEC’s involvement in the development of accounting standards has varied. In some cases, the private sector has attempted to establish a standard, but the SEC has refused to accept it. In other cases, the SEC has prodded the private sector into taking quicker action on setting standards.</w:t>
      </w:r>
    </w:p>
    <w:p w:rsidR="00FE1108" w:rsidRDefault="00FE1108" w:rsidP="00FE1108">
      <w:pPr>
        <w:pStyle w:val="Review"/>
        <w:spacing w:line="240" w:lineRule="exact"/>
      </w:pPr>
    </w:p>
    <w:p w:rsidR="00FE1108" w:rsidRDefault="00FE1108" w:rsidP="00FE1108">
      <w:pPr>
        <w:pStyle w:val="Review"/>
      </w:pPr>
      <w:r>
        <w:tab/>
        <w:t>11.</w:t>
      </w:r>
      <w:r>
        <w:tab/>
        <w:t>If the SEC believes that an accounting or disclosure irregularity exists regarding a company’s financial statements, the SEC sends a deficiency letter to the company. If the company’s response to the deficiency letter proves unsatisfactory, the SEC has the power to issue a “stop order,” which prevents the registrant from issuing securities or trading securities on the exchanges. Criminal charges may also be brought by the Department of Justice.</w:t>
      </w:r>
    </w:p>
    <w:p w:rsidR="00FE1108" w:rsidRDefault="00FE1108" w:rsidP="00FE1108">
      <w:pPr>
        <w:pStyle w:val="Review"/>
        <w:tabs>
          <w:tab w:val="clear" w:pos="360"/>
          <w:tab w:val="clear" w:pos="540"/>
          <w:tab w:val="left" w:pos="-1440"/>
          <w:tab w:val="left" w:pos="-720"/>
          <w:tab w:val="right" w:pos="630"/>
          <w:tab w:val="left" w:pos="864"/>
        </w:tabs>
        <w:spacing w:line="240" w:lineRule="exact"/>
      </w:pPr>
    </w:p>
    <w:p w:rsidR="00FE1108" w:rsidRDefault="00FE1108" w:rsidP="00FE1108">
      <w:pPr>
        <w:tabs>
          <w:tab w:val="left" w:pos="-1440"/>
          <w:tab w:val="left" w:pos="-720"/>
          <w:tab w:val="right" w:pos="630"/>
          <w:tab w:val="left" w:pos="864"/>
        </w:tabs>
        <w:spacing w:line="280" w:lineRule="exact"/>
        <w:jc w:val="both"/>
        <w:rPr>
          <w:rFonts w:ascii="Helvetica" w:hAnsi="Helvetica"/>
        </w:rPr>
      </w:pPr>
      <w:r>
        <w:rPr>
          <w:rFonts w:ascii="Helvetica" w:hAnsi="Helvetica"/>
          <w:b/>
          <w:u w:val="single"/>
        </w:rPr>
        <w:t>The AICPA and Development of Accounting Principles</w:t>
      </w:r>
    </w:p>
    <w:p w:rsidR="00FE1108" w:rsidRDefault="00FE1108" w:rsidP="00FE1108">
      <w:pPr>
        <w:pStyle w:val="Review"/>
        <w:tabs>
          <w:tab w:val="clear" w:pos="360"/>
          <w:tab w:val="clear" w:pos="540"/>
          <w:tab w:val="left" w:pos="-1440"/>
          <w:tab w:val="left" w:pos="-720"/>
          <w:tab w:val="right" w:pos="630"/>
          <w:tab w:val="left" w:pos="864"/>
        </w:tabs>
        <w:spacing w:line="240" w:lineRule="exact"/>
      </w:pPr>
    </w:p>
    <w:p w:rsidR="00FE1108" w:rsidRDefault="00FE1108" w:rsidP="00FE1108">
      <w:pPr>
        <w:pStyle w:val="Review"/>
      </w:pPr>
      <w:r>
        <w:tab/>
        <w:t>12.</w:t>
      </w:r>
      <w:r>
        <w:tab/>
        <w:t xml:space="preserve">The first group appointed by the AICPA to address the issue of uniformity in accounting practice was the </w:t>
      </w:r>
      <w:r>
        <w:rPr>
          <w:b/>
        </w:rPr>
        <w:t xml:space="preserve">Committee on Accounting Procedure (CAP). </w:t>
      </w:r>
      <w:r>
        <w:t xml:space="preserve">This group served the accounting profession from 1939 to 1959. During that period it issued 51 </w:t>
      </w:r>
      <w:r>
        <w:rPr>
          <w:b/>
        </w:rPr>
        <w:t xml:space="preserve">Accounting Research Bulletins (ARBs) </w:t>
      </w:r>
      <w:r>
        <w:t>that narrowed the wide range of alternative accounting practices then in existence.</w:t>
      </w:r>
    </w:p>
    <w:p w:rsidR="00FE1108" w:rsidRDefault="00FE1108" w:rsidP="00FE1108">
      <w:pPr>
        <w:pStyle w:val="Review"/>
        <w:spacing w:line="240" w:lineRule="exact"/>
      </w:pPr>
    </w:p>
    <w:p w:rsidR="00FE1108" w:rsidRDefault="00FE1108" w:rsidP="00FE1108">
      <w:pPr>
        <w:pStyle w:val="Review"/>
      </w:pPr>
      <w:r>
        <w:tab/>
        <w:t>13.</w:t>
      </w:r>
      <w:r>
        <w:tab/>
      </w:r>
      <w:r>
        <w:rPr>
          <w:spacing w:val="-2"/>
        </w:rPr>
        <w:t xml:space="preserve">In 1959, the AICPA created the </w:t>
      </w:r>
      <w:r>
        <w:rPr>
          <w:b/>
          <w:spacing w:val="-2"/>
        </w:rPr>
        <w:t>Accounting Principles Board (APB).</w:t>
      </w:r>
      <w:r>
        <w:rPr>
          <w:spacing w:val="-2"/>
        </w:rPr>
        <w:t xml:space="preserve"> The major purposes </w:t>
      </w:r>
      <w:r>
        <w:rPr>
          <w:spacing w:val="-4"/>
        </w:rPr>
        <w:t>of this group were (a) to advance the written expression of accounting principles, (b) to deter-</w:t>
      </w:r>
      <w:r>
        <w:rPr>
          <w:spacing w:val="-2"/>
        </w:rPr>
        <w:t xml:space="preserve">mine appropriate practices, and (c) to narrow the areas of difference and inconsistency in </w:t>
      </w:r>
      <w:r>
        <w:rPr>
          <w:spacing w:val="-4"/>
        </w:rPr>
        <w:t xml:space="preserve">practice. The APB was designated as the AICPA’s sole authority for public pronouncements </w:t>
      </w:r>
      <w:r>
        <w:rPr>
          <w:spacing w:val="-2"/>
        </w:rPr>
        <w:t xml:space="preserve">on accounting principles. Its </w:t>
      </w:r>
      <w:r>
        <w:rPr>
          <w:spacing w:val="-2"/>
        </w:rPr>
        <w:lastRenderedPageBreak/>
        <w:t xml:space="preserve">pronouncements, known as </w:t>
      </w:r>
      <w:r>
        <w:rPr>
          <w:b/>
          <w:spacing w:val="-2"/>
        </w:rPr>
        <w:t xml:space="preserve">APB Opinions, </w:t>
      </w:r>
      <w:r>
        <w:rPr>
          <w:spacing w:val="-2"/>
        </w:rPr>
        <w:t>were intended to be based mainly on research studies and be supported by reason and analysis.</w:t>
      </w:r>
    </w:p>
    <w:p w:rsidR="00FE1108" w:rsidRDefault="00FE1108" w:rsidP="00FE1108">
      <w:pPr>
        <w:tabs>
          <w:tab w:val="left" w:pos="-1440"/>
          <w:tab w:val="left" w:pos="-720"/>
          <w:tab w:val="right" w:pos="630"/>
          <w:tab w:val="left" w:pos="864"/>
        </w:tabs>
        <w:spacing w:line="280" w:lineRule="exact"/>
        <w:jc w:val="both"/>
        <w:rPr>
          <w:rFonts w:ascii="Helvetica" w:hAnsi="Helvetica"/>
          <w:b/>
          <w:u w:val="single"/>
        </w:rPr>
      </w:pPr>
    </w:p>
    <w:p w:rsidR="00FE1108" w:rsidRDefault="00FE1108" w:rsidP="00FE1108">
      <w:pPr>
        <w:tabs>
          <w:tab w:val="left" w:pos="-1440"/>
          <w:tab w:val="left" w:pos="-720"/>
          <w:tab w:val="right" w:pos="630"/>
          <w:tab w:val="left" w:pos="864"/>
        </w:tabs>
        <w:spacing w:line="280" w:lineRule="exact"/>
        <w:jc w:val="both"/>
        <w:rPr>
          <w:rFonts w:ascii="Helvetica" w:hAnsi="Helvetica"/>
        </w:rPr>
      </w:pPr>
      <w:r>
        <w:rPr>
          <w:rFonts w:ascii="Helvetica" w:hAnsi="Helvetica"/>
          <w:b/>
          <w:u w:val="single"/>
        </w:rPr>
        <w:t>The FASB</w:t>
      </w:r>
    </w:p>
    <w:p w:rsidR="00FE1108" w:rsidRDefault="00FE1108" w:rsidP="00FE1108">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left" w:pos="-1440"/>
          <w:tab w:val="left" w:pos="-720"/>
          <w:tab w:val="right" w:pos="630"/>
          <w:tab w:val="left" w:pos="864"/>
        </w:tabs>
        <w:spacing w:line="260" w:lineRule="exact"/>
      </w:pPr>
    </w:p>
    <w:p w:rsidR="00FE1108" w:rsidRDefault="00FE1108" w:rsidP="00FE1108">
      <w:pPr>
        <w:pStyle w:val="Review"/>
      </w:pPr>
      <w:r>
        <w:tab/>
        <w:t>14.</w:t>
      </w:r>
      <w:r>
        <w:tab/>
        <w:t xml:space="preserve">The APB operated in a somewhat hostile environment for 13 years. Early in its existence it was criticized for lack of productivity and failing to act promptly, then it was criticized for overreacting to certain issues. A committee, known as the </w:t>
      </w:r>
      <w:r>
        <w:rPr>
          <w:b/>
        </w:rPr>
        <w:t xml:space="preserve">Study Group on Establishment of Accounting Principles (Wheat Committee), </w:t>
      </w:r>
      <w:r>
        <w:t>was set up to study the APB and recommend changes in its structure and operation. The result of the Study Group’s findings was the demise of the APB and the creation of the Financial Accounting Standards Board (FASB). The FASB represents the current rule-making body within the accounting profession.</w:t>
      </w:r>
    </w:p>
    <w:p w:rsidR="00FE1108" w:rsidRDefault="00FE1108" w:rsidP="00FE1108">
      <w:pPr>
        <w:pStyle w:val="Review"/>
        <w:spacing w:line="260" w:lineRule="exact"/>
        <w:ind w:left="0" w:firstLine="0"/>
      </w:pPr>
    </w:p>
    <w:p w:rsidR="00FE1108" w:rsidRDefault="00FE1108" w:rsidP="00FE1108">
      <w:pPr>
        <w:pStyle w:val="Review"/>
      </w:pPr>
      <w:r>
        <w:tab/>
        <w:t>15.</w:t>
      </w:r>
      <w:r>
        <w:tab/>
        <w:t xml:space="preserve">The mission of the FASB is to establish and improve standards of financial accounting </w:t>
      </w:r>
      <w:r>
        <w:rPr>
          <w:spacing w:val="-2"/>
        </w:rPr>
        <w:t>and reporting for the guidance and education of the public, which includes issuers, auditors</w:t>
      </w:r>
      <w:r>
        <w:t>, and users of financial information. The FASB differs from the predecessor APB in the following ways:</w:t>
      </w:r>
    </w:p>
    <w:p w:rsidR="00FE1108" w:rsidRDefault="00FE1108" w:rsidP="00FE1108">
      <w:pPr>
        <w:pStyle w:val="Review2"/>
        <w:spacing w:line="200" w:lineRule="exact"/>
      </w:pPr>
    </w:p>
    <w:p w:rsidR="00FE1108" w:rsidRDefault="00FE1108" w:rsidP="00FE1108">
      <w:pPr>
        <w:pStyle w:val="Review2"/>
      </w:pPr>
      <w:r>
        <w:tab/>
        <w:t>a.</w:t>
      </w:r>
      <w:r>
        <w:tab/>
        <w:t>Smaller membership (7 versus 18 on the APB).</w:t>
      </w:r>
    </w:p>
    <w:p w:rsidR="00FE1108" w:rsidRDefault="00FE1108" w:rsidP="00FE1108">
      <w:pPr>
        <w:pStyle w:val="Review2"/>
        <w:spacing w:line="200" w:lineRule="exact"/>
      </w:pPr>
    </w:p>
    <w:p w:rsidR="00FE1108" w:rsidRDefault="00FE1108" w:rsidP="00FE1108">
      <w:pPr>
        <w:pStyle w:val="Review2"/>
      </w:pPr>
      <w:r>
        <w:tab/>
        <w:t>b.</w:t>
      </w:r>
      <w:r>
        <w:tab/>
        <w:t>Full-time remunerated membership (APB members were unpaid and part-time).</w:t>
      </w:r>
    </w:p>
    <w:p w:rsidR="00FE1108" w:rsidRDefault="00FE1108" w:rsidP="00FE1108">
      <w:pPr>
        <w:pStyle w:val="Review2"/>
        <w:spacing w:line="200" w:lineRule="exact"/>
      </w:pPr>
    </w:p>
    <w:p w:rsidR="00FE1108" w:rsidRDefault="00FE1108" w:rsidP="00FE1108">
      <w:pPr>
        <w:pStyle w:val="Review2"/>
      </w:pPr>
      <w:r>
        <w:tab/>
        <w:t>c.</w:t>
      </w:r>
      <w:r>
        <w:tab/>
        <w:t>Greater autonomy (APB was a senior committee of the AICPA).</w:t>
      </w:r>
    </w:p>
    <w:p w:rsidR="00FE1108" w:rsidRDefault="00FE1108" w:rsidP="00FE1108">
      <w:pPr>
        <w:pStyle w:val="Review2"/>
        <w:spacing w:line="200" w:lineRule="exact"/>
      </w:pPr>
    </w:p>
    <w:p w:rsidR="00FE1108" w:rsidRDefault="00FE1108" w:rsidP="00FE1108">
      <w:pPr>
        <w:pStyle w:val="Review2"/>
      </w:pPr>
      <w:r>
        <w:tab/>
        <w:t>d.</w:t>
      </w:r>
      <w:r>
        <w:tab/>
        <w:t>Increased independence (FASB members must sever all ties with firms, companies, or institutions).</w:t>
      </w:r>
    </w:p>
    <w:p w:rsidR="00FE1108" w:rsidRDefault="00FE1108" w:rsidP="00FE1108">
      <w:pPr>
        <w:pStyle w:val="Review2"/>
        <w:spacing w:line="200" w:lineRule="exact"/>
      </w:pPr>
    </w:p>
    <w:p w:rsidR="00FE1108" w:rsidRDefault="00FE1108" w:rsidP="00FE1108">
      <w:pPr>
        <w:pStyle w:val="Review2"/>
      </w:pPr>
      <w:r>
        <w:tab/>
        <w:t>e.</w:t>
      </w:r>
      <w:r>
        <w:tab/>
        <w:t>Broader representation (it is not necessary to be a CPA to be a member of the FASB).</w:t>
      </w:r>
    </w:p>
    <w:p w:rsidR="00FE1108" w:rsidRDefault="00FE1108" w:rsidP="00FE1108">
      <w:pPr>
        <w:pStyle w:val="Review"/>
        <w:overflowPunct w:val="0"/>
        <w:autoSpaceDE w:val="0"/>
        <w:autoSpaceDN w:val="0"/>
        <w:adjustRightInd w:val="0"/>
        <w:spacing w:line="200" w:lineRule="exact"/>
        <w:ind w:left="907" w:hanging="907"/>
      </w:pPr>
    </w:p>
    <w:p w:rsidR="00FE1108" w:rsidRDefault="00FE1108" w:rsidP="00FE1108">
      <w:pPr>
        <w:pStyle w:val="Review"/>
      </w:pPr>
      <w:r>
        <w:tab/>
      </w:r>
      <w:r>
        <w:tab/>
        <w:t xml:space="preserve">Two basic premises of the FASB are that in establishing financial accounting standards: </w:t>
      </w:r>
      <w:r>
        <w:rPr>
          <w:spacing w:val="-2"/>
        </w:rPr>
        <w:t>(a) it should be responsive to the needs and viewpoints of the entire economic community</w:t>
      </w:r>
      <w:r>
        <w:t>, not just the public accounting profession, and (b) it should operate in full view of the public through a “due process” system that gives interested persons ample opportunity to make their views known.</w:t>
      </w:r>
    </w:p>
    <w:p w:rsidR="00FE1108" w:rsidRDefault="00FE1108" w:rsidP="00FE1108">
      <w:pPr>
        <w:pStyle w:val="Review"/>
        <w:spacing w:line="240" w:lineRule="exact"/>
      </w:pPr>
    </w:p>
    <w:p w:rsidR="00FE1108" w:rsidRDefault="00FE1108" w:rsidP="00FE1108">
      <w:pPr>
        <w:pStyle w:val="Review"/>
      </w:pPr>
      <w:r>
        <w:tab/>
        <w:t>16.</w:t>
      </w:r>
      <w:r>
        <w:tab/>
        <w:t>The FASB issues three major types of pronouncements:</w:t>
      </w:r>
    </w:p>
    <w:p w:rsidR="00FE1108" w:rsidRDefault="00FE1108" w:rsidP="00FE1108">
      <w:pPr>
        <w:pStyle w:val="Review2"/>
        <w:spacing w:line="200" w:lineRule="exact"/>
      </w:pPr>
    </w:p>
    <w:p w:rsidR="00FE1108" w:rsidRDefault="00FE1108" w:rsidP="00FE1108">
      <w:pPr>
        <w:pStyle w:val="Review2"/>
      </w:pPr>
      <w:r>
        <w:tab/>
        <w:t>a.</w:t>
      </w:r>
      <w:r>
        <w:tab/>
        <w:t>Standards, Interpretations, and Staff Positions.</w:t>
      </w:r>
    </w:p>
    <w:p w:rsidR="00FE1108" w:rsidRDefault="00FE1108" w:rsidP="00FE1108">
      <w:pPr>
        <w:pStyle w:val="Review2"/>
        <w:spacing w:line="200" w:lineRule="exact"/>
      </w:pPr>
    </w:p>
    <w:p w:rsidR="00FE1108" w:rsidRDefault="00FE1108" w:rsidP="00FE1108">
      <w:pPr>
        <w:pStyle w:val="Review2"/>
      </w:pPr>
      <w:r>
        <w:tab/>
        <w:t>b.</w:t>
      </w:r>
      <w:r>
        <w:tab/>
        <w:t>Financial Accounting Concepts.</w:t>
      </w:r>
    </w:p>
    <w:p w:rsidR="00FE1108" w:rsidRDefault="00FE1108" w:rsidP="00FE1108">
      <w:pPr>
        <w:pStyle w:val="Review2"/>
        <w:spacing w:line="200" w:lineRule="exact"/>
      </w:pPr>
    </w:p>
    <w:p w:rsidR="00FE1108" w:rsidRDefault="00FE1108" w:rsidP="00FE1108">
      <w:pPr>
        <w:pStyle w:val="Review2"/>
      </w:pPr>
      <w:r>
        <w:tab/>
        <w:t>c.</w:t>
      </w:r>
      <w:r>
        <w:tab/>
        <w:t>Emerging Issues Task Force Statements.</w:t>
      </w:r>
    </w:p>
    <w:p w:rsidR="00FE1108" w:rsidRDefault="00FE1108" w:rsidP="00FE1108">
      <w:pPr>
        <w:pStyle w:val="Review"/>
        <w:spacing w:line="200" w:lineRule="exact"/>
        <w:rPr>
          <w:b/>
        </w:rPr>
      </w:pPr>
    </w:p>
    <w:p w:rsidR="00FE1108" w:rsidRDefault="00FE1108" w:rsidP="00FE1108">
      <w:pPr>
        <w:pStyle w:val="Review"/>
        <w:rPr>
          <w:b/>
        </w:rPr>
      </w:pPr>
      <w:r>
        <w:rPr>
          <w:b/>
        </w:rPr>
        <w:tab/>
      </w:r>
      <w:r>
        <w:rPr>
          <w:b/>
        </w:rPr>
        <w:tab/>
        <w:t>The Standards, Interpretations, and Staff Positions</w:t>
      </w:r>
      <w:r>
        <w:t xml:space="preserve"> are considered GAAP and must be followed in practice.</w:t>
      </w:r>
      <w:r>
        <w:rPr>
          <w:b/>
        </w:rPr>
        <w:t xml:space="preserve"> The Statements of Financial Accounting Concepts (SFAC)</w:t>
      </w:r>
      <w:r>
        <w:t xml:space="preserve"> represent an attempt to move away from the problem-by-problem approach to standard setting that has been characteristic of the </w:t>
      </w:r>
      <w:r>
        <w:lastRenderedPageBreak/>
        <w:t xml:space="preserve">accounting profession. The Concept Statements are intended to form a cohesive set of interrelated concepts, a conceptual </w:t>
      </w:r>
      <w:proofErr w:type="gramStart"/>
      <w:r>
        <w:t>framework, that</w:t>
      </w:r>
      <w:proofErr w:type="gramEnd"/>
      <w:r>
        <w:t xml:space="preserve"> will serve as tools for solving existing and emerging problems in a consistent manner. Unlike FASB statements, the Concept Statements do not establish GAAP.</w:t>
      </w:r>
    </w:p>
    <w:p w:rsidR="00FE1108" w:rsidRDefault="00FE1108" w:rsidP="00FE1108">
      <w:pPr>
        <w:pStyle w:val="Review"/>
      </w:pPr>
    </w:p>
    <w:p w:rsidR="00FE1108" w:rsidRDefault="00FE1108" w:rsidP="00FE1108">
      <w:pPr>
        <w:pStyle w:val="Review"/>
      </w:pPr>
      <w:r>
        <w:tab/>
        <w:t>17.</w:t>
      </w:r>
      <w:r>
        <w:tab/>
        <w:t xml:space="preserve">In 1984, the FASB created the </w:t>
      </w:r>
      <w:r>
        <w:rPr>
          <w:b/>
        </w:rPr>
        <w:t>Emerging Issues Task Force (EITF).</w:t>
      </w:r>
      <w:r>
        <w:t xml:space="preserve"> The purpose of the Task Force is to reach a consensus on how to account for new and unusual financial transactions that have the potential for creating differing financial reporting practices. The EITF can deal with short-term accounting issues by reaching a consensus and thus avoiding the need for deliberation by the FASB and the issuance of an FASB Statement.</w:t>
      </w:r>
    </w:p>
    <w:p w:rsidR="00FE1108" w:rsidRDefault="00FE1108" w:rsidP="00FE1108">
      <w:pPr>
        <w:pStyle w:val="Review"/>
      </w:pPr>
    </w:p>
    <w:p w:rsidR="00FE1108" w:rsidRDefault="00FE1108" w:rsidP="00FE1108">
      <w:pPr>
        <w:pStyle w:val="Review"/>
      </w:pPr>
      <w:r>
        <w:tab/>
        <w:t>18.</w:t>
      </w:r>
      <w:r>
        <w:tab/>
        <w:t>When the FASB was established, the AICPA established the Accounting Standards Division to act as its official voice on accounting and reporting issues. Within the Division the Accounting Standards Executive Committee (</w:t>
      </w:r>
      <w:proofErr w:type="spellStart"/>
      <w:r>
        <w:t>AcSEC</w:t>
      </w:r>
      <w:proofErr w:type="spellEnd"/>
      <w:r>
        <w:t>) was established and spoke through its written communications called Audit and Accounting Guidelines, Statements of Position (SOP) and Practice Bulletins. Recently the role of the AICPA in standard-setting has diminished. The FASB and the AICPA agree that t</w:t>
      </w:r>
      <w:r>
        <w:rPr>
          <w:spacing w:val="-2"/>
        </w:rPr>
        <w:t xml:space="preserve">he AICPA and </w:t>
      </w:r>
      <w:proofErr w:type="spellStart"/>
      <w:r>
        <w:rPr>
          <w:spacing w:val="-2"/>
        </w:rPr>
        <w:t>AcSEC</w:t>
      </w:r>
      <w:proofErr w:type="spellEnd"/>
      <w:r>
        <w:rPr>
          <w:spacing w:val="-2"/>
        </w:rPr>
        <w:t xml:space="preserve"> no longer will issue authoritative accounting</w:t>
      </w:r>
      <w:r>
        <w:t xml:space="preserve"> guidance for public companies. The Sarbanes-Oxley Act of 2002 requires the Public Company Accounting Oversight Board (PCAOB) to oversee the development of auditing standards.</w:t>
      </w:r>
    </w:p>
    <w:p w:rsidR="00FE1108" w:rsidRDefault="00FE1108" w:rsidP="00FE1108">
      <w:pPr>
        <w:pStyle w:val="Review"/>
      </w:pPr>
    </w:p>
    <w:p w:rsidR="00FE1108" w:rsidRDefault="00FE1108" w:rsidP="00FE1108">
      <w:pPr>
        <w:pStyle w:val="Review"/>
      </w:pPr>
      <w:r>
        <w:tab/>
        <w:t>19.</w:t>
      </w:r>
      <w:r>
        <w:tab/>
        <w:t xml:space="preserve">Generally accepted accounting principles (GAAP) are those principles that have </w:t>
      </w:r>
      <w:r>
        <w:rPr>
          <w:b/>
          <w:spacing w:val="-3"/>
        </w:rPr>
        <w:t xml:space="preserve">substantial authoritative support. </w:t>
      </w:r>
      <w:r>
        <w:rPr>
          <w:spacing w:val="-3"/>
        </w:rPr>
        <w:t xml:space="preserve">Accounting principles that have substantial authoritative </w:t>
      </w:r>
      <w:r>
        <w:t>support are those found in FASB Statements, Interpretations, and Staff Positions; APB Opinions; and Accounting Research Bulletins (ARBs). If an accounting transaction is not covered in any of these documents, the accountant may look to other authoritative accounting literature for guidance.</w:t>
      </w:r>
    </w:p>
    <w:p w:rsidR="00FE1108" w:rsidRDefault="00FE1108" w:rsidP="00FE1108">
      <w:pPr>
        <w:pStyle w:val="Review"/>
      </w:pPr>
    </w:p>
    <w:p w:rsidR="00FE1108" w:rsidRDefault="00FE1108" w:rsidP="00FE1108">
      <w:pPr>
        <w:pStyle w:val="Review"/>
      </w:pPr>
      <w:r>
        <w:tab/>
        <w:t>20.</w:t>
      </w:r>
      <w:r>
        <w:tab/>
        <w:t>The FASB developed the Financial Accounting Standards Board Accounting Standards Codification (“the Codification”) to provide in one place all the authoritative literature related to a particular topic. The Codification changes the way GAAP is documented, presented, and updated. The Financial Accounting Standards Board Codification Research System (CRS) is an online real-</w:t>
      </w:r>
      <w:proofErr w:type="gramStart"/>
      <w:r>
        <w:t>time  database</w:t>
      </w:r>
      <w:proofErr w:type="gramEnd"/>
      <w:r>
        <w:t xml:space="preserve"> that provides easy access to the Codification.</w:t>
      </w:r>
    </w:p>
    <w:p w:rsidR="00FE1108" w:rsidRDefault="00FE1108" w:rsidP="00FE1108">
      <w:pPr>
        <w:pStyle w:val="Review"/>
      </w:pPr>
    </w:p>
    <w:p w:rsidR="00FE1108" w:rsidRDefault="00FE1108" w:rsidP="00FE1108">
      <w:pPr>
        <w:pStyle w:val="Review"/>
      </w:pPr>
      <w:r>
        <w:tab/>
        <w:t>21.</w:t>
      </w:r>
      <w:r>
        <w:tab/>
      </w:r>
      <w:r>
        <w:rPr>
          <w:spacing w:val="-2"/>
        </w:rPr>
        <w:t xml:space="preserve">Although accounting standards are developed by using careful logic and empirical </w:t>
      </w:r>
      <w:r>
        <w:t>findings, a certain amount of pressure and influence is brought to bear by groups interested in or affected by accounting standards. The FASB does not exist in a vacuum, and politics and special-interest pressures remain a part of the standard-setting process.</w:t>
      </w:r>
    </w:p>
    <w:p w:rsidR="00FE1108" w:rsidRDefault="00FE1108" w:rsidP="00FE1108">
      <w:pPr>
        <w:pStyle w:val="Review"/>
      </w:pPr>
    </w:p>
    <w:p w:rsidR="00FE1108" w:rsidRDefault="00FE1108" w:rsidP="00FE1108">
      <w:pPr>
        <w:pStyle w:val="Review"/>
      </w:pPr>
      <w:r>
        <w:tab/>
        <w:t>22.</w:t>
      </w:r>
      <w:r>
        <w:tab/>
      </w:r>
      <w:r>
        <w:rPr>
          <w:spacing w:val="2"/>
        </w:rPr>
        <w:t>Along with establishing the PCAOB, the Sarbanes-Oxley Act implements stronger inde</w:t>
      </w:r>
      <w:r>
        <w:rPr>
          <w:spacing w:val="2"/>
        </w:rPr>
        <w:softHyphen/>
        <w:t>pendence</w:t>
      </w:r>
      <w:r>
        <w:t xml:space="preserve"> rules for auditors, requires CEOs and CFOs to personally certify that </w:t>
      </w:r>
      <w:r>
        <w:rPr>
          <w:spacing w:val="-2"/>
        </w:rPr>
        <w:t xml:space="preserve">financial statements and disclosures are accurate and complete, requires audit </w:t>
      </w:r>
      <w:r>
        <w:rPr>
          <w:spacing w:val="-2"/>
        </w:rPr>
        <w:lastRenderedPageBreak/>
        <w:t xml:space="preserve">committees to be comprised of independent members, and requires a code of ethics for senior financial </w:t>
      </w:r>
      <w:r>
        <w:t>officers. In addition, the Sarbanes-Oxley Act requires public companies to attest to the effectiveness of their internal controls over financial reporting.</w:t>
      </w:r>
    </w:p>
    <w:p w:rsidR="00FE1108" w:rsidRDefault="00FE1108" w:rsidP="00FE1108">
      <w:pPr>
        <w:pStyle w:val="Review"/>
      </w:pPr>
    </w:p>
    <w:p w:rsidR="00FE1108" w:rsidRDefault="00FE1108" w:rsidP="00FE1108">
      <w:pPr>
        <w:pStyle w:val="Review"/>
      </w:pPr>
      <w:r>
        <w:tab/>
        <w:t>23.</w:t>
      </w:r>
      <w:r>
        <w:tab/>
        <w:t>Some of the challenges facing financial reporting in the future are the following:</w:t>
      </w:r>
    </w:p>
    <w:p w:rsidR="00FE1108" w:rsidRDefault="00FE1108" w:rsidP="00FE1108">
      <w:pPr>
        <w:pStyle w:val="Review2"/>
        <w:spacing w:line="240" w:lineRule="exact"/>
      </w:pPr>
    </w:p>
    <w:p w:rsidR="00FE1108" w:rsidRDefault="00FE1108" w:rsidP="00FE1108">
      <w:pPr>
        <w:pStyle w:val="Review2"/>
      </w:pPr>
      <w:r>
        <w:tab/>
        <w:t>a.</w:t>
      </w:r>
      <w:r>
        <w:tab/>
      </w:r>
      <w:r>
        <w:rPr>
          <w:b/>
        </w:rPr>
        <w:t xml:space="preserve">Nonfinancial measurements, </w:t>
      </w:r>
      <w:r>
        <w:t>which include customer satisfaction indexes, backlog information, and reject rates on goods purchased.</w:t>
      </w:r>
    </w:p>
    <w:p w:rsidR="00FE1108" w:rsidRDefault="00FE1108" w:rsidP="00FE1108">
      <w:pPr>
        <w:pStyle w:val="Review2"/>
        <w:spacing w:line="240" w:lineRule="exact"/>
      </w:pPr>
    </w:p>
    <w:p w:rsidR="00FE1108" w:rsidRDefault="00FE1108" w:rsidP="00FE1108">
      <w:pPr>
        <w:pStyle w:val="Review2"/>
      </w:pPr>
      <w:r>
        <w:tab/>
        <w:t>b.</w:t>
      </w:r>
      <w:r>
        <w:tab/>
      </w:r>
      <w:r>
        <w:rPr>
          <w:b/>
        </w:rPr>
        <w:t>Forward-looking information.</w:t>
      </w:r>
    </w:p>
    <w:p w:rsidR="00FE1108" w:rsidRDefault="00FE1108" w:rsidP="00FE1108">
      <w:pPr>
        <w:pStyle w:val="Review2"/>
        <w:spacing w:line="240" w:lineRule="exact"/>
      </w:pPr>
    </w:p>
    <w:p w:rsidR="00FE1108" w:rsidRDefault="00FE1108" w:rsidP="00FE1108">
      <w:pPr>
        <w:pStyle w:val="Review2"/>
      </w:pPr>
      <w:r>
        <w:tab/>
        <w:t>c.</w:t>
      </w:r>
      <w:r>
        <w:tab/>
      </w:r>
      <w:r>
        <w:rPr>
          <w:b/>
        </w:rPr>
        <w:t xml:space="preserve">Soft </w:t>
      </w:r>
      <w:proofErr w:type="gramStart"/>
      <w:r>
        <w:rPr>
          <w:b/>
        </w:rPr>
        <w:t>assets,</w:t>
      </w:r>
      <w:proofErr w:type="gramEnd"/>
      <w:r>
        <w:t xml:space="preserve"> include such intangibles as market dominance, expertise in supply chain management, and brand image.</w:t>
      </w:r>
    </w:p>
    <w:p w:rsidR="00FE1108" w:rsidRDefault="00FE1108" w:rsidP="00FE1108">
      <w:pPr>
        <w:pStyle w:val="Review2"/>
      </w:pPr>
    </w:p>
    <w:p w:rsidR="00FE1108" w:rsidRDefault="00FE1108" w:rsidP="00FE1108">
      <w:pPr>
        <w:pStyle w:val="Review2"/>
      </w:pPr>
      <w:r>
        <w:tab/>
        <w:t>d.</w:t>
      </w:r>
      <w:r>
        <w:tab/>
      </w:r>
      <w:r>
        <w:rPr>
          <w:b/>
        </w:rPr>
        <w:t xml:space="preserve">Timeliness, </w:t>
      </w:r>
      <w:r>
        <w:t>including real-time financial statement information.</w:t>
      </w:r>
    </w:p>
    <w:p w:rsidR="00FE1108" w:rsidRDefault="00FE1108" w:rsidP="00FE1108">
      <w:pPr>
        <w:pStyle w:val="Review"/>
      </w:pPr>
    </w:p>
    <w:p w:rsidR="00FE1108" w:rsidRDefault="00FE1108" w:rsidP="00FE1108">
      <w:pPr>
        <w:pStyle w:val="Review"/>
      </w:pPr>
      <w:r>
        <w:tab/>
        <w:t>24.</w:t>
      </w:r>
      <w:r>
        <w:tab/>
        <w:t xml:space="preserve">Most countries have recognized the need for more global standards. </w:t>
      </w:r>
      <w:r>
        <w:rPr>
          <w:b/>
        </w:rPr>
        <w:t>The International Accounting Standards Board (IASB)</w:t>
      </w:r>
      <w:r>
        <w:t xml:space="preserve"> and U.S. rule-making bodies are working together to reconcile U.S. GAAP with the IASB International Financial Reporting Standards (IFRS). The FASB and the IASB agreed to make their existing financial reporting standards fully compatible as soon as practicable, and coordinate their future work programs to ensure that once achieved, compatibility is maintained.</w:t>
      </w:r>
    </w:p>
    <w:p w:rsidR="00FE1108" w:rsidRDefault="00FE1108" w:rsidP="00FE1108">
      <w:pPr>
        <w:pStyle w:val="Review"/>
      </w:pPr>
    </w:p>
    <w:p w:rsidR="00AB2798" w:rsidRDefault="00FE1108" w:rsidP="00FE1108">
      <w:pPr>
        <w:pStyle w:val="Review"/>
      </w:pPr>
      <w:r>
        <w:tab/>
        <w:t>25.</w:t>
      </w:r>
      <w:r>
        <w:tab/>
        <w:t>In accounting, ethical dilemmas are encountered frequently. The whole process of ethical sensitivity and selection among alternatives can be complicated by pressures that may take the form of time pressures, job pressures, client pressures, personal pres</w:t>
      </w:r>
      <w:r>
        <w:softHyphen/>
        <w:t>sures, and peer pressures. Throughout the textbook, ethical considerations are presented to sensitize you to the type of situations you may encounter in your profession.</w:t>
      </w:r>
    </w:p>
    <w:sectPr w:rsidR="00AB2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108"/>
    <w:rsid w:val="004955AC"/>
    <w:rsid w:val="00757A87"/>
    <w:rsid w:val="008900BE"/>
    <w:rsid w:val="00AB2798"/>
    <w:rsid w:val="00B65B2F"/>
    <w:rsid w:val="00FE1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10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FE11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Helvetica" w:eastAsia="Times New Roman" w:hAnsi="Helvetica" w:cs="Times New Roman"/>
      <w:sz w:val="24"/>
      <w:szCs w:val="20"/>
    </w:rPr>
  </w:style>
  <w:style w:type="paragraph" w:customStyle="1" w:styleId="h1">
    <w:name w:val="h1"/>
    <w:rsid w:val="00FE1108"/>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FE1108"/>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FE1108"/>
    <w:pPr>
      <w:tabs>
        <w:tab w:val="left" w:pos="540"/>
        <w:tab w:val="left" w:pos="907"/>
      </w:tabs>
      <w:overflowPunct w:val="0"/>
      <w:autoSpaceDE w:val="0"/>
      <w:autoSpaceDN w:val="0"/>
      <w:adjustRightInd w:val="0"/>
      <w:spacing w:line="280" w:lineRule="exact"/>
      <w:ind w:left="907" w:hanging="907"/>
      <w:jc w:val="both"/>
    </w:pPr>
    <w:rPr>
      <w:rFonts w:ascii="Helvetica" w:hAnsi="Helvetica"/>
    </w:rPr>
  </w:style>
  <w:style w:type="paragraph" w:styleId="BlockText">
    <w:name w:val="Block Text"/>
    <w:basedOn w:val="Normal"/>
    <w:uiPriority w:val="99"/>
    <w:semiHidden/>
    <w:unhideWhenUsed/>
    <w:rsid w:val="00FE110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10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FE11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Helvetica" w:eastAsia="Times New Roman" w:hAnsi="Helvetica" w:cs="Times New Roman"/>
      <w:sz w:val="24"/>
      <w:szCs w:val="20"/>
    </w:rPr>
  </w:style>
  <w:style w:type="paragraph" w:customStyle="1" w:styleId="h1">
    <w:name w:val="h1"/>
    <w:rsid w:val="00FE1108"/>
    <w:pPr>
      <w:spacing w:after="0" w:line="240" w:lineRule="auto"/>
    </w:pPr>
    <w:rPr>
      <w:rFonts w:ascii="Helvetica" w:eastAsia="Times New Roman" w:hAnsi="Helvetica" w:cs="Times New Roman"/>
      <w:b/>
      <w:sz w:val="28"/>
      <w:szCs w:val="20"/>
    </w:rPr>
  </w:style>
  <w:style w:type="paragraph" w:customStyle="1" w:styleId="Review">
    <w:name w:val="Review"/>
    <w:basedOn w:val="BlockText"/>
    <w:rsid w:val="00FE1108"/>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FE1108"/>
    <w:pPr>
      <w:tabs>
        <w:tab w:val="left" w:pos="540"/>
        <w:tab w:val="left" w:pos="907"/>
      </w:tabs>
      <w:overflowPunct w:val="0"/>
      <w:autoSpaceDE w:val="0"/>
      <w:autoSpaceDN w:val="0"/>
      <w:adjustRightInd w:val="0"/>
      <w:spacing w:line="280" w:lineRule="exact"/>
      <w:ind w:left="907" w:hanging="907"/>
      <w:jc w:val="both"/>
    </w:pPr>
    <w:rPr>
      <w:rFonts w:ascii="Helvetica" w:hAnsi="Helvetica"/>
    </w:rPr>
  </w:style>
  <w:style w:type="paragraph" w:styleId="BlockText">
    <w:name w:val="Block Text"/>
    <w:basedOn w:val="Normal"/>
    <w:uiPriority w:val="99"/>
    <w:semiHidden/>
    <w:unhideWhenUsed/>
    <w:rsid w:val="00FE110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1829</Words>
  <Characters>10430</Characters>
  <Application>Microsoft Office Word</Application>
  <DocSecurity>0</DocSecurity>
  <Lines>86</Lines>
  <Paragraphs>24</Paragraphs>
  <ScaleCrop>false</ScaleCrop>
  <Company/>
  <LinksUpToDate>false</LinksUpToDate>
  <CharactersWithSpaces>12235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6</cp:revision>
  <dcterms:created xsi:type="dcterms:W3CDTF">2012-12-29T22:21:00Z</dcterms:created>
  <dcterms:modified xsi:type="dcterms:W3CDTF">2012-12-30T22:09:00Z</dcterms:modified>
</cp:coreProperties>
</file>