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60C" w:rsidRPr="0095760C" w:rsidRDefault="0095760C" w:rsidP="009576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60C">
        <w:rPr>
          <w:rFonts w:ascii="Times New Roman" w:hAnsi="Times New Roman" w:cs="Times New Roman"/>
          <w:b/>
          <w:sz w:val="24"/>
          <w:szCs w:val="24"/>
        </w:rPr>
        <w:t>Lecture 25</w:t>
      </w:r>
    </w:p>
    <w:p w:rsidR="00000000" w:rsidRPr="0095760C" w:rsidRDefault="00296D76" w:rsidP="009576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60C">
        <w:rPr>
          <w:rFonts w:ascii="Times New Roman" w:hAnsi="Times New Roman" w:cs="Times New Roman"/>
          <w:b/>
          <w:sz w:val="24"/>
          <w:szCs w:val="24"/>
        </w:rPr>
        <w:t>Financing International Trade</w:t>
      </w:r>
    </w:p>
    <w:p w:rsidR="00000000" w:rsidRPr="0095760C" w:rsidRDefault="00296D76" w:rsidP="0095760C">
      <w:p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In any international trade transaction, credit is provided by either </w:t>
      </w:r>
    </w:p>
    <w:p w:rsidR="00000000" w:rsidRPr="0095760C" w:rsidRDefault="00296D76" w:rsidP="0095760C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the supplier (exporter), </w:t>
      </w:r>
    </w:p>
    <w:p w:rsidR="00000000" w:rsidRPr="0095760C" w:rsidRDefault="00296D76" w:rsidP="0095760C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buyer (importer),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5760C" w:rsidRDefault="00296D76" w:rsidP="0095760C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one or more financial institutions, or </w:t>
      </w:r>
    </w:p>
    <w:p w:rsidR="00000000" w:rsidRPr="0095760C" w:rsidRDefault="00296D76" w:rsidP="0095760C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760C">
        <w:rPr>
          <w:rFonts w:ascii="Times New Roman" w:hAnsi="Times New Roman" w:cs="Times New Roman"/>
          <w:sz w:val="24"/>
          <w:szCs w:val="24"/>
        </w:rPr>
        <w:t>any</w:t>
      </w:r>
      <w:proofErr w:type="gramEnd"/>
      <w:r w:rsidRPr="0095760C">
        <w:rPr>
          <w:rFonts w:ascii="Times New Roman" w:hAnsi="Times New Roman" w:cs="Times New Roman"/>
          <w:sz w:val="24"/>
          <w:szCs w:val="24"/>
        </w:rPr>
        <w:t xml:space="preserve"> combination of the above.</w:t>
      </w:r>
    </w:p>
    <w:p w:rsidR="00000000" w:rsidRPr="0095760C" w:rsidRDefault="00296D76" w:rsidP="0095760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The form of credit whereby the supplier funds the entire trade cycle is known as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supplier credit</w:t>
      </w:r>
      <w:r w:rsidRPr="0095760C">
        <w:rPr>
          <w:rFonts w:ascii="Times New Roman" w:hAnsi="Times New Roman" w:cs="Times New Roman"/>
          <w:sz w:val="24"/>
          <w:szCs w:val="24"/>
        </w:rPr>
        <w:t>.</w:t>
      </w:r>
    </w:p>
    <w:p w:rsidR="00000000" w:rsidRPr="0095760C" w:rsidRDefault="0095760C" w:rsidP="009576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60C">
        <w:rPr>
          <w:rFonts w:ascii="Times New Roman" w:hAnsi="Times New Roman" w:cs="Times New Roman"/>
          <w:b/>
          <w:sz w:val="24"/>
          <w:szCs w:val="24"/>
        </w:rPr>
        <w:t>Payment Methods for</w:t>
      </w:r>
      <w:r w:rsidR="00296D76" w:rsidRPr="0095760C">
        <w:rPr>
          <w:rFonts w:ascii="Times New Roman" w:hAnsi="Times New Roman" w:cs="Times New Roman"/>
          <w:b/>
          <w:sz w:val="24"/>
          <w:szCs w:val="24"/>
        </w:rPr>
        <w:t xml:space="preserve"> International Trade</w:t>
      </w:r>
    </w:p>
    <w:p w:rsidR="0095760C" w:rsidRP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760C">
        <w:rPr>
          <w:rFonts w:ascii="Times New Roman" w:hAnsi="Times New Roman" w:cs="Times New Roman"/>
          <w:sz w:val="24"/>
          <w:szCs w:val="24"/>
        </w:rPr>
        <w:t xml:space="preserve">Method </w:t>
      </w:r>
      <w:r w:rsidRPr="0095760C">
        <w:rPr>
          <w:rFonts w:ascii="Times New Roman" w:hAnsi="Times New Roman" w:cs="Times New Roman"/>
          <w:sz w:val="24"/>
          <w:szCs w:val="24"/>
        </w:rPr>
        <w:sym w:font="Wingdings" w:char="008C"/>
      </w:r>
      <w:proofErr w:type="gramEnd"/>
      <w:r w:rsidRPr="0095760C">
        <w:rPr>
          <w:rFonts w:ascii="Times New Roman" w:hAnsi="Times New Roman" w:cs="Times New Roman"/>
          <w:sz w:val="24"/>
          <w:szCs w:val="24"/>
        </w:rPr>
        <w:t xml:space="preserve"> :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Prepayments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5760C" w:rsidRDefault="00296D76" w:rsidP="0095760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goods will not be shipped until the buyer has paid the seller.</w:t>
      </w:r>
    </w:p>
    <w:p w:rsidR="00000000" w:rsidRPr="0095760C" w:rsidRDefault="00296D76" w:rsidP="0095760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Time of payment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Before shipment</w:t>
      </w:r>
    </w:p>
    <w:p w:rsidR="00000000" w:rsidRPr="0095760C" w:rsidRDefault="00296D76" w:rsidP="0095760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Goods available to buyers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After payment</w:t>
      </w:r>
    </w:p>
    <w:p w:rsidR="00000000" w:rsidRPr="0095760C" w:rsidRDefault="00296D76" w:rsidP="0095760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exporter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None</w:t>
      </w:r>
    </w:p>
    <w:p w:rsidR="00000000" w:rsidRPr="0095760C" w:rsidRDefault="00296D76" w:rsidP="0095760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importer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Relies completely on exporter to ship goods as ordered</w:t>
      </w:r>
    </w:p>
    <w:p w:rsidR="00000000" w:rsidRPr="0095760C" w:rsidRDefault="00296D76" w:rsidP="0095760C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Payment Methods for International Trade</w:t>
      </w:r>
    </w:p>
    <w:p w:rsidR="0095760C" w:rsidRP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760C">
        <w:rPr>
          <w:rFonts w:ascii="Times New Roman" w:hAnsi="Times New Roman" w:cs="Times New Roman"/>
          <w:sz w:val="24"/>
          <w:szCs w:val="24"/>
        </w:rPr>
        <w:t xml:space="preserve">Method </w:t>
      </w:r>
      <w:r w:rsidRPr="0095760C">
        <w:rPr>
          <w:rFonts w:ascii="Times New Roman" w:hAnsi="Times New Roman" w:cs="Times New Roman"/>
          <w:sz w:val="24"/>
          <w:szCs w:val="24"/>
        </w:rPr>
        <w:sym w:font="Wingdings" w:char="008D"/>
      </w:r>
      <w:proofErr w:type="gramEnd"/>
      <w:r w:rsidRPr="0095760C">
        <w:rPr>
          <w:rFonts w:ascii="Times New Roman" w:hAnsi="Times New Roman" w:cs="Times New Roman"/>
          <w:sz w:val="24"/>
          <w:szCs w:val="24"/>
        </w:rPr>
        <w:t xml:space="preserve"> :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Letters of credit (L/C)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5760C" w:rsidRDefault="00296D76" w:rsidP="0095760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These are issued by a bank on behalf of the importer promising to pay the exporter upon presentation of the shipping documents.</w:t>
      </w:r>
    </w:p>
    <w:p w:rsidR="00000000" w:rsidRPr="0095760C" w:rsidRDefault="00296D76" w:rsidP="0095760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Time of payment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When shipment is made</w:t>
      </w:r>
    </w:p>
    <w:p w:rsidR="00000000" w:rsidRPr="0095760C" w:rsidRDefault="00296D76" w:rsidP="0095760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Goods ava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ilable to buyers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After payment</w:t>
      </w:r>
    </w:p>
    <w:p w:rsidR="00000000" w:rsidRPr="0095760C" w:rsidRDefault="00296D76" w:rsidP="0095760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exporter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Very little or none</w:t>
      </w:r>
    </w:p>
    <w:p w:rsidR="00000000" w:rsidRPr="0095760C" w:rsidRDefault="00296D76" w:rsidP="0095760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importer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Relies on exporter to ship goods as described in documents</w:t>
      </w:r>
    </w:p>
    <w:p w:rsid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60C" w:rsidRP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760C">
        <w:rPr>
          <w:rFonts w:ascii="Times New Roman" w:hAnsi="Times New Roman" w:cs="Times New Roman"/>
          <w:sz w:val="24"/>
          <w:szCs w:val="24"/>
        </w:rPr>
        <w:lastRenderedPageBreak/>
        <w:t xml:space="preserve">Method </w:t>
      </w:r>
      <w:r w:rsidRPr="0095760C">
        <w:rPr>
          <w:rFonts w:ascii="Times New Roman" w:hAnsi="Times New Roman" w:cs="Times New Roman"/>
          <w:sz w:val="24"/>
          <w:szCs w:val="24"/>
        </w:rPr>
        <w:sym w:font="Wingdings" w:char="008E"/>
      </w:r>
      <w:proofErr w:type="gramEnd"/>
      <w:r w:rsidRPr="0095760C">
        <w:rPr>
          <w:rFonts w:ascii="Times New Roman" w:hAnsi="Times New Roman" w:cs="Times New Roman"/>
          <w:sz w:val="24"/>
          <w:szCs w:val="24"/>
        </w:rPr>
        <w:t xml:space="preserve"> :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Drafts (Bills of Exchange)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These are unconditional</w:t>
      </w:r>
      <w:r w:rsidRPr="0095760C">
        <w:rPr>
          <w:rFonts w:ascii="Times New Roman" w:hAnsi="Times New Roman" w:cs="Times New Roman"/>
          <w:sz w:val="24"/>
          <w:szCs w:val="24"/>
        </w:rPr>
        <w:t xml:space="preserve"> promises drawn by the exporter instructing the buyer to pay the face amount of the drafts.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Banks on both ends usually act as intermediaries in the processing of shipping documents and the collection of payment. In banking terminology, the transactions ar</w:t>
      </w:r>
      <w:r w:rsidRPr="0095760C">
        <w:rPr>
          <w:rFonts w:ascii="Times New Roman" w:hAnsi="Times New Roman" w:cs="Times New Roman"/>
          <w:sz w:val="24"/>
          <w:szCs w:val="24"/>
        </w:rPr>
        <w:t xml:space="preserve">e known as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documentary collections</w:t>
      </w:r>
      <w:r w:rsidRPr="0095760C">
        <w:rPr>
          <w:rFonts w:ascii="Times New Roman" w:hAnsi="Times New Roman" w:cs="Times New Roman"/>
          <w:sz w:val="24"/>
          <w:szCs w:val="24"/>
        </w:rPr>
        <w:t>.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Time of payment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On presentation of draft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Goods available to buyers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After payment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exporter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Disposal of unpaid goods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importer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Relies on exporter </w:t>
      </w:r>
      <w:r w:rsidRPr="0095760C">
        <w:rPr>
          <w:rFonts w:ascii="Times New Roman" w:hAnsi="Times New Roman" w:cs="Times New Roman"/>
          <w:sz w:val="24"/>
          <w:szCs w:val="24"/>
        </w:rPr>
        <w:t>to ship goods as described in documents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Time of payment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On maturity of draft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Goods available to buyers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Before payment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exporter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Relies on buyer to pay</w:t>
      </w:r>
    </w:p>
    <w:p w:rsidR="00000000" w:rsidRPr="0095760C" w:rsidRDefault="00296D76" w:rsidP="0095760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importer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Relies on exporter to ship g</w:t>
      </w:r>
      <w:r w:rsidRPr="0095760C">
        <w:rPr>
          <w:rFonts w:ascii="Times New Roman" w:hAnsi="Times New Roman" w:cs="Times New Roman"/>
          <w:sz w:val="24"/>
          <w:szCs w:val="24"/>
        </w:rPr>
        <w:t>oods as described in documents</w:t>
      </w:r>
    </w:p>
    <w:p w:rsid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60C" w:rsidRP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760C">
        <w:rPr>
          <w:rFonts w:ascii="Times New Roman" w:hAnsi="Times New Roman" w:cs="Times New Roman"/>
          <w:sz w:val="24"/>
          <w:szCs w:val="24"/>
        </w:rPr>
        <w:t xml:space="preserve">Method </w:t>
      </w:r>
      <w:r w:rsidRPr="0095760C">
        <w:rPr>
          <w:rFonts w:ascii="Times New Roman" w:hAnsi="Times New Roman" w:cs="Times New Roman"/>
          <w:sz w:val="24"/>
          <w:szCs w:val="24"/>
        </w:rPr>
        <w:sym w:font="Wingdings" w:char="008F"/>
      </w:r>
      <w:proofErr w:type="gramEnd"/>
      <w:r w:rsidRPr="0095760C">
        <w:rPr>
          <w:rFonts w:ascii="Times New Roman" w:hAnsi="Times New Roman" w:cs="Times New Roman"/>
          <w:sz w:val="24"/>
          <w:szCs w:val="24"/>
        </w:rPr>
        <w:t xml:space="preserve"> :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Consignments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5760C" w:rsidRDefault="00296D76" w:rsidP="0095760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exporter retains actual title to the goods that are shipped to the importer.</w:t>
      </w:r>
    </w:p>
    <w:p w:rsidR="00000000" w:rsidRPr="0095760C" w:rsidRDefault="00296D76" w:rsidP="0095760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Time of payment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At time of sale to third party</w:t>
      </w:r>
    </w:p>
    <w:p w:rsidR="00000000" w:rsidRPr="0095760C" w:rsidRDefault="00296D76" w:rsidP="0095760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Goods available to buyers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  <w:r w:rsidRPr="0095760C">
        <w:rPr>
          <w:rFonts w:ascii="Times New Roman" w:hAnsi="Times New Roman" w:cs="Times New Roman"/>
          <w:sz w:val="24"/>
          <w:szCs w:val="24"/>
        </w:rPr>
        <w:t>: Before payment</w:t>
      </w:r>
    </w:p>
    <w:p w:rsidR="00000000" w:rsidRPr="0095760C" w:rsidRDefault="00296D76" w:rsidP="0095760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exporter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Allows importer to sell inventory before paying exporter</w:t>
      </w:r>
    </w:p>
    <w:p w:rsidR="00000000" w:rsidRPr="0095760C" w:rsidRDefault="00296D76" w:rsidP="0095760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importer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None</w:t>
      </w:r>
    </w:p>
    <w:p w:rsid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60C" w:rsidRP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760C">
        <w:rPr>
          <w:rFonts w:ascii="Times New Roman" w:hAnsi="Times New Roman" w:cs="Times New Roman"/>
          <w:sz w:val="24"/>
          <w:szCs w:val="24"/>
        </w:rPr>
        <w:t xml:space="preserve">Method </w:t>
      </w:r>
      <w:r w:rsidRPr="0095760C">
        <w:rPr>
          <w:rFonts w:ascii="Times New Roman" w:hAnsi="Times New Roman" w:cs="Times New Roman"/>
          <w:sz w:val="24"/>
          <w:szCs w:val="24"/>
        </w:rPr>
        <w:sym w:font="Wingdings" w:char="0090"/>
      </w:r>
      <w:proofErr w:type="gramEnd"/>
      <w:r w:rsidRPr="0095760C">
        <w:rPr>
          <w:rFonts w:ascii="Times New Roman" w:hAnsi="Times New Roman" w:cs="Times New Roman"/>
          <w:sz w:val="24"/>
          <w:szCs w:val="24"/>
        </w:rPr>
        <w:t xml:space="preserve"> :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Open Accounts</w:t>
      </w:r>
      <w:r w:rsidRPr="009576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95760C" w:rsidRDefault="00296D76" w:rsidP="0095760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The exporter ships </w:t>
      </w:r>
      <w:r w:rsidRPr="0095760C">
        <w:rPr>
          <w:rFonts w:ascii="Times New Roman" w:hAnsi="Times New Roman" w:cs="Times New Roman"/>
          <w:sz w:val="24"/>
          <w:szCs w:val="24"/>
        </w:rPr>
        <w:t>the merchandise and expects the buyer to remit payment according to the agreed-upon terms.</w:t>
      </w:r>
    </w:p>
    <w:p w:rsidR="00000000" w:rsidRPr="0095760C" w:rsidRDefault="00296D76" w:rsidP="0095760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Time of payment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As agreed upon</w:t>
      </w:r>
    </w:p>
    <w:p w:rsidR="00000000" w:rsidRPr="0095760C" w:rsidRDefault="00296D76" w:rsidP="0095760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Goods available to buyers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Before payment</w:t>
      </w:r>
    </w:p>
    <w:p w:rsidR="00000000" w:rsidRPr="0095760C" w:rsidRDefault="00296D76" w:rsidP="0095760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Risk to exporter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Relies completely on buyer to pay account as agreed upon</w:t>
      </w:r>
    </w:p>
    <w:p w:rsidR="00000000" w:rsidRPr="0095760C" w:rsidRDefault="00296D76" w:rsidP="0095760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 xml:space="preserve">Risk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to importer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None</w:t>
      </w:r>
    </w:p>
    <w:p w:rsidR="00000000" w:rsidRPr="0095760C" w:rsidRDefault="00296D76" w:rsidP="009576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60C">
        <w:rPr>
          <w:rFonts w:ascii="Times New Roman" w:hAnsi="Times New Roman" w:cs="Times New Roman"/>
          <w:b/>
          <w:sz w:val="24"/>
          <w:szCs w:val="24"/>
        </w:rPr>
        <w:t>Trade Finance Methods</w:t>
      </w:r>
    </w:p>
    <w:p w:rsidR="00000000" w:rsidRPr="0095760C" w:rsidRDefault="00296D76" w:rsidP="0095760C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Accounts Receivable Financing</w:t>
      </w:r>
    </w:p>
    <w:p w:rsidR="00000000" w:rsidRPr="0095760C" w:rsidRDefault="00296D76" w:rsidP="0095760C">
      <w:pPr>
        <w:numPr>
          <w:ilvl w:val="1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An exporter that needs funds immediately may obtain a bank loan that is secured by an assignment of the account receivable.</w:t>
      </w:r>
    </w:p>
    <w:p w:rsidR="00000000" w:rsidRPr="0095760C" w:rsidRDefault="00296D76" w:rsidP="0095760C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Factoring (Cross-Border Factoring)</w:t>
      </w:r>
    </w:p>
    <w:p w:rsidR="00000000" w:rsidRPr="0095760C" w:rsidRDefault="00296D76" w:rsidP="0095760C">
      <w:pPr>
        <w:numPr>
          <w:ilvl w:val="1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accounts receivab</w:t>
      </w:r>
      <w:r w:rsidRPr="0095760C">
        <w:rPr>
          <w:rFonts w:ascii="Times New Roman" w:hAnsi="Times New Roman" w:cs="Times New Roman"/>
          <w:sz w:val="24"/>
          <w:szCs w:val="24"/>
        </w:rPr>
        <w:t>le are sold to a third party (the factor), that then assumes all the responsibilities and exposure associated with collecting from the buyer.</w:t>
      </w:r>
    </w:p>
    <w:p w:rsidR="00000000" w:rsidRPr="0095760C" w:rsidRDefault="00296D76" w:rsidP="0095760C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Trade Finance Methods</w:t>
      </w:r>
    </w:p>
    <w:p w:rsidR="00000000" w:rsidRPr="0095760C" w:rsidRDefault="00296D76" w:rsidP="0095760C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Letters of Credit  (L/C)</w:t>
      </w:r>
    </w:p>
    <w:p w:rsidR="00000000" w:rsidRPr="0095760C" w:rsidRDefault="00296D76" w:rsidP="0095760C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These are issued by a bank on behalf of the importer promising t</w:t>
      </w:r>
      <w:r w:rsidRPr="0095760C">
        <w:rPr>
          <w:rFonts w:ascii="Times New Roman" w:hAnsi="Times New Roman" w:cs="Times New Roman"/>
          <w:sz w:val="24"/>
          <w:szCs w:val="24"/>
        </w:rPr>
        <w:t>o pay the exporter upon presentation of the shipping documents.</w:t>
      </w:r>
    </w:p>
    <w:p w:rsidR="00000000" w:rsidRPr="0095760C" w:rsidRDefault="00296D76" w:rsidP="0095760C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importer pays the issuing bank the amount of the L/C plus associated fees.</w:t>
      </w:r>
    </w:p>
    <w:p w:rsidR="00000000" w:rsidRPr="0095760C" w:rsidRDefault="00296D76" w:rsidP="0095760C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Commercial or import/export L/Cs are usually </w:t>
      </w:r>
      <w:r w:rsidRPr="0095760C">
        <w:rPr>
          <w:rFonts w:ascii="Times New Roman" w:hAnsi="Times New Roman" w:cs="Times New Roman"/>
          <w:i/>
          <w:iCs/>
          <w:sz w:val="24"/>
          <w:szCs w:val="24"/>
        </w:rPr>
        <w:t>irrevocable</w:t>
      </w:r>
      <w:r w:rsidRPr="009576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95760C" w:rsidRDefault="0095760C" w:rsidP="0095760C">
      <w:pPr>
        <w:numPr>
          <w:ilvl w:val="1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296D76" w:rsidRPr="0095760C">
        <w:rPr>
          <w:rFonts w:ascii="Times New Roman" w:hAnsi="Times New Roman" w:cs="Times New Roman"/>
          <w:sz w:val="24"/>
          <w:szCs w:val="24"/>
        </w:rPr>
        <w:t>ometimes</w:t>
      </w:r>
      <w:proofErr w:type="gramEnd"/>
      <w:r w:rsidR="00296D76" w:rsidRPr="0095760C">
        <w:rPr>
          <w:rFonts w:ascii="Times New Roman" w:hAnsi="Times New Roman" w:cs="Times New Roman"/>
          <w:sz w:val="24"/>
          <w:szCs w:val="24"/>
        </w:rPr>
        <w:t xml:space="preserve">, the exporter may request that a local bank confirm (guarantee) the L/C. </w:t>
      </w:r>
    </w:p>
    <w:p w:rsidR="0095760C" w:rsidRDefault="009576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0000" w:rsidRPr="0095760C" w:rsidRDefault="00296D76" w:rsidP="0095760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60C">
        <w:rPr>
          <w:rFonts w:ascii="Times New Roman" w:hAnsi="Times New Roman" w:cs="Times New Roman"/>
          <w:b/>
          <w:sz w:val="24"/>
          <w:szCs w:val="24"/>
        </w:rPr>
        <w:t>Documentary Credit Procedure</w:t>
      </w:r>
    </w:p>
    <w:p w:rsidR="00000000" w:rsidRPr="0095760C" w:rsidRDefault="00296D76" w:rsidP="0095760C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Variations include</w:t>
      </w:r>
    </w:p>
    <w:p w:rsidR="00000000" w:rsidRPr="0095760C" w:rsidRDefault="00296D76" w:rsidP="0095760C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standby L/Cs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funded only if the buyer does not pay the seller as agreed upon </w:t>
      </w:r>
    </w:p>
    <w:p w:rsidR="00000000" w:rsidRPr="0095760C" w:rsidRDefault="00296D76" w:rsidP="0095760C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transferable L/Cs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the first </w:t>
      </w:r>
      <w:r w:rsidRPr="0095760C">
        <w:rPr>
          <w:rFonts w:ascii="Times New Roman" w:hAnsi="Times New Roman" w:cs="Times New Roman"/>
          <w:sz w:val="24"/>
          <w:szCs w:val="24"/>
        </w:rPr>
        <w:t>beneficiary can transfer all or part of the original L/C to a third party</w:t>
      </w:r>
    </w:p>
    <w:p w:rsidR="00000000" w:rsidRPr="0095760C" w:rsidRDefault="00296D76" w:rsidP="0095760C">
      <w:pPr>
        <w:numPr>
          <w:ilvl w:val="2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i/>
          <w:iCs/>
          <w:sz w:val="24"/>
          <w:szCs w:val="24"/>
        </w:rPr>
        <w:t>assignments of proceeds under an L/C</w:t>
      </w:r>
      <w:r w:rsidRPr="0095760C">
        <w:rPr>
          <w:rFonts w:ascii="Times New Roman" w:hAnsi="Times New Roman" w:cs="Times New Roman"/>
          <w:sz w:val="24"/>
          <w:szCs w:val="24"/>
        </w:rPr>
        <w:t xml:space="preserve"> : the original beneficiary assigns the proceeds to the end supplier</w:t>
      </w:r>
    </w:p>
    <w:p w:rsidR="00000000" w:rsidRPr="0095760C" w:rsidRDefault="00296D76" w:rsidP="0095760C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760C">
        <w:rPr>
          <w:rFonts w:ascii="Times New Roman" w:hAnsi="Times New Roman" w:cs="Times New Roman"/>
          <w:sz w:val="24"/>
          <w:szCs w:val="24"/>
        </w:rPr>
        <w:t>Banker’s</w:t>
      </w:r>
      <w:proofErr w:type="spellEnd"/>
      <w:r w:rsidRPr="0095760C">
        <w:rPr>
          <w:rFonts w:ascii="Times New Roman" w:hAnsi="Times New Roman" w:cs="Times New Roman"/>
          <w:sz w:val="24"/>
          <w:szCs w:val="24"/>
        </w:rPr>
        <w:t xml:space="preserve"> Acceptance (BA)</w:t>
      </w:r>
    </w:p>
    <w:p w:rsidR="00000000" w:rsidRPr="0095760C" w:rsidRDefault="00296D76" w:rsidP="0095760C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This is a time draft that </w:t>
      </w:r>
      <w:r w:rsidRPr="0095760C">
        <w:rPr>
          <w:rFonts w:ascii="Times New Roman" w:hAnsi="Times New Roman" w:cs="Times New Roman"/>
          <w:sz w:val="24"/>
          <w:szCs w:val="24"/>
        </w:rPr>
        <w:t>is drawn on and accepted by a bank (the importer’s bank). The accepting bank is obliged to pay the holder of the draft at maturity.</w:t>
      </w:r>
    </w:p>
    <w:p w:rsidR="00000000" w:rsidRPr="0095760C" w:rsidRDefault="00296D76" w:rsidP="0095760C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If the exporter does not want to wait for payment, it can request that the BA be sold in the money market. Trade financing </w:t>
      </w:r>
      <w:r w:rsidRPr="0095760C">
        <w:rPr>
          <w:rFonts w:ascii="Times New Roman" w:hAnsi="Times New Roman" w:cs="Times New Roman"/>
          <w:sz w:val="24"/>
          <w:szCs w:val="24"/>
        </w:rPr>
        <w:t xml:space="preserve">is provided by the holder of the BA. </w:t>
      </w:r>
    </w:p>
    <w:p w:rsidR="00000000" w:rsidRPr="0095760C" w:rsidRDefault="00296D76" w:rsidP="0095760C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In general, all-in-rates are lower than bank loan rates. They usually fall between the rates of short-term Treasury bills and commercial papers.</w:t>
      </w:r>
    </w:p>
    <w:p w:rsidR="00000000" w:rsidRPr="0095760C" w:rsidRDefault="00296D76" w:rsidP="009576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60C">
        <w:rPr>
          <w:rFonts w:ascii="Times New Roman" w:hAnsi="Times New Roman" w:cs="Times New Roman"/>
          <w:b/>
          <w:sz w:val="24"/>
          <w:szCs w:val="24"/>
        </w:rPr>
        <w:t>Life Cycle of a Typical Banker’s Acceptance</w:t>
      </w:r>
    </w:p>
    <w:p w:rsidR="0095760C" w:rsidRDefault="0095760C" w:rsidP="0095760C">
      <w:pPr>
        <w:jc w:val="center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223657" cy="2895600"/>
            <wp:effectExtent l="0" t="0" r="0" b="0"/>
            <wp:docPr id="6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6688138"/>
                      <a:chOff x="0" y="0"/>
                      <a:chExt cx="9144000" cy="6688138"/>
                    </a:xfrm>
                  </a:grpSpPr>
                  <a:sp>
                    <a:nvSpPr>
                      <a:cNvPr id="19458" name="Rectangle 2"/>
                      <a:cNvSpPr>
                        <a:spLocks noGrp="1" noChangeArrowheads="1"/>
                      </a:cNvSpPr>
                    </a:nvSpPr>
                    <a:spPr bwMode="auto">
                      <a:xfrm>
                        <a:off x="0" y="0"/>
                        <a:ext cx="9144000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  <a:lvl2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2pPr>
                          <a:lvl3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3pPr>
                          <a:lvl4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4pPr>
                          <a:lvl5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5pPr>
                          <a:lvl6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6pPr>
                          <a:lvl7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7pPr>
                          <a:lvl8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8pPr>
                          <a:lvl9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1"/>
                              </a:solidFill>
                              <a:latin typeface="Calibri" pitchFamily="34" charset="0"/>
                            </a:defRPr>
                          </a:lvl9pPr>
                        </a:lstStyle>
                        <a:p>
                          <a:pPr eaLnBrk="1" hangingPunct="1"/>
                          <a:r>
                            <a:rPr lang="en-US" sz="2800" dirty="0" smtClean="0"/>
                            <a:t>Life Cycle of a Typical Banker’s Acceptance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65931" name="Rectangle 43"/>
                      <a:cNvSpPr>
                        <a:spLocks noChangeArrowheads="1"/>
                      </a:cNvSpPr>
                    </a:nvSpPr>
                    <a:spPr bwMode="auto">
                      <a:xfrm>
                        <a:off x="2590800" y="3733800"/>
                        <a:ext cx="4038600" cy="393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000" dirty="0">
                              <a:solidFill>
                                <a:srgbClr val="CC0000"/>
                              </a:solidFill>
                            </a:rPr>
                            <a:t>8. Pay Discounted Value of BA</a:t>
                          </a:r>
                          <a:endParaRPr lang="en-US" sz="2000" dirty="0"/>
                        </a:p>
                      </a:txBody>
                      <a:useSpRect/>
                    </a:txSp>
                  </a:sp>
                  <a:sp>
                    <a:nvSpPr>
                      <a:cNvPr id="165945" name="Rectangle 57"/>
                      <a:cNvSpPr>
                        <a:spLocks noChangeArrowheads="1"/>
                      </a:cNvSpPr>
                    </a:nvSpPr>
                    <a:spPr bwMode="auto">
                      <a:xfrm>
                        <a:off x="6629400" y="5029200"/>
                        <a:ext cx="2263775" cy="3635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l">
                            <a:tabLst>
                              <a:tab pos="292100" algn="ctr"/>
                              <a:tab pos="685800" algn="l"/>
                              <a:tab pos="863600" algn="l"/>
                            </a:tabLst>
                          </a:pPr>
                          <a:r>
                            <a:rPr lang="en-US" sz="1800">
                              <a:solidFill>
                                <a:schemeClr val="bg2"/>
                              </a:solidFill>
                            </a:rPr>
                            <a:t>	</a:t>
                          </a:r>
                          <a:r>
                            <a:rPr lang="en-US" sz="1800">
                              <a:solidFill>
                                <a:schemeClr val="accent2"/>
                              </a:solidFill>
                            </a:rPr>
                            <a:t>1</a:t>
                          </a:r>
                          <a:r>
                            <a:rPr lang="en-US" sz="800">
                              <a:solidFill>
                                <a:schemeClr val="accent2"/>
                              </a:solidFill>
                            </a:rPr>
                            <a:t> </a:t>
                          </a:r>
                          <a:r>
                            <a:rPr lang="en-US" sz="1800">
                              <a:solidFill>
                                <a:schemeClr val="accent2"/>
                              </a:solidFill>
                            </a:rPr>
                            <a:t>-</a:t>
                          </a:r>
                          <a:r>
                            <a:rPr lang="en-US" sz="800">
                              <a:solidFill>
                                <a:schemeClr val="accent2"/>
                              </a:solidFill>
                            </a:rPr>
                            <a:t> </a:t>
                          </a:r>
                          <a:r>
                            <a:rPr lang="en-US" sz="1800">
                              <a:solidFill>
                                <a:schemeClr val="accent2"/>
                              </a:solidFill>
                            </a:rPr>
                            <a:t>7	:	Prior to BA</a:t>
                          </a:r>
                          <a:endParaRPr lang="en-US" sz="1800"/>
                        </a:p>
                      </a:txBody>
                      <a:useSpRect/>
                    </a:txSp>
                  </a:sp>
                  <a:grpSp>
                    <a:nvGrpSpPr>
                      <a:cNvPr id="2" name="Group 85"/>
                      <a:cNvGrpSpPr>
                        <a:grpSpLocks/>
                      </a:cNvGrpSpPr>
                    </a:nvGrpSpPr>
                    <a:grpSpPr bwMode="auto">
                      <a:xfrm>
                        <a:off x="1143000" y="838200"/>
                        <a:ext cx="6934200" cy="762000"/>
                        <a:chOff x="720" y="528"/>
                        <a:chExt cx="4368" cy="480"/>
                      </a:xfrm>
                    </a:grpSpPr>
                    <a:grpSp>
                      <a:nvGrpSpPr>
                        <a:cNvPr id="6" name="Group 6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080" y="576"/>
                          <a:ext cx="1008" cy="432"/>
                          <a:chOff x="720" y="576"/>
                          <a:chExt cx="1008" cy="432"/>
                        </a:xfrm>
                      </a:grpSpPr>
                      <a:sp>
                        <a:nvSpPr>
                          <a:cNvPr id="19519" name="Rectangle 6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20" y="576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006B61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9520" name="Rectangle 6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68" y="624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9512" name="Rectangle 2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121" y="528"/>
                          <a:ext cx="1491" cy="2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/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1. Purchase Order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grpSp>
                      <a:nvGrpSpPr>
                        <a:cNvPr id="8" name="Group 60"/>
                        <a:cNvGrpSpPr>
                          <a:grpSpLocks/>
                        </a:cNvGrpSpPr>
                      </a:nvGrpSpPr>
                      <a:grpSpPr bwMode="auto">
                        <a:xfrm>
                          <a:off x="720" y="576"/>
                          <a:ext cx="1008" cy="432"/>
                          <a:chOff x="720" y="576"/>
                          <a:chExt cx="1008" cy="432"/>
                        </a:xfrm>
                      </a:grpSpPr>
                      <a:sp>
                        <a:nvSpPr>
                          <a:cNvPr id="19517" name="Rectangle 35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20" y="576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006B61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9518" name="Rectangle 3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68" y="624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9514" name="Rectangle 3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68" y="624"/>
                          <a:ext cx="960" cy="3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145000"/>
                              </a:lnSpc>
                            </a:pPr>
                            <a:r>
                              <a:rPr lang="en-US" sz="2000"/>
                              <a:t>Importer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9515" name="Rectangle 4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128" y="624"/>
                          <a:ext cx="960" cy="3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145000"/>
                              </a:lnSpc>
                            </a:pPr>
                            <a:r>
                              <a:rPr lang="en-US" sz="2000"/>
                              <a:t>Exporter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9516" name="Line 76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728" y="768"/>
                          <a:ext cx="2352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5" name="Group 78"/>
                      <a:cNvGrpSpPr>
                        <a:grpSpLocks/>
                      </a:cNvGrpSpPr>
                    </a:nvGrpSpPr>
                    <a:grpSpPr bwMode="auto">
                      <a:xfrm>
                        <a:off x="2743200" y="1447800"/>
                        <a:ext cx="3733800" cy="393700"/>
                        <a:chOff x="1728" y="912"/>
                        <a:chExt cx="2352" cy="248"/>
                      </a:xfrm>
                    </a:grpSpPr>
                    <a:sp>
                      <a:nvSpPr>
                        <a:cNvPr id="19509" name="Rectangle 2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284" y="912"/>
                          <a:ext cx="1189" cy="2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/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5. Ship Goods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510" name="Line 77"/>
                        <a:cNvSpPr>
                          <a:spLocks noChangeShapeType="1"/>
                        </a:cNvSpPr>
                      </a:nvSpPr>
                      <a:spPr bwMode="auto">
                        <a:xfrm flipH="1">
                          <a:off x="1728" y="912"/>
                          <a:ext cx="2352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3" name="Group 87"/>
                      <a:cNvGrpSpPr>
                        <a:grpSpLocks/>
                      </a:cNvGrpSpPr>
                    </a:nvGrpSpPr>
                    <a:grpSpPr bwMode="auto">
                      <a:xfrm>
                        <a:off x="228600" y="1600200"/>
                        <a:ext cx="2514600" cy="3228975"/>
                        <a:chOff x="144" y="1008"/>
                        <a:chExt cx="1584" cy="2034"/>
                      </a:xfrm>
                    </a:grpSpPr>
                    <a:grpSp>
                      <a:nvGrpSpPr>
                        <a:cNvPr id="20" name="Group 67"/>
                        <a:cNvGrpSpPr>
                          <a:grpSpLocks/>
                        </a:cNvGrpSpPr>
                      </a:nvGrpSpPr>
                      <a:grpSpPr bwMode="auto">
                        <a:xfrm>
                          <a:off x="720" y="2592"/>
                          <a:ext cx="1008" cy="432"/>
                          <a:chOff x="720" y="576"/>
                          <a:chExt cx="1008" cy="432"/>
                        </a:xfrm>
                      </a:grpSpPr>
                      <a:sp>
                        <a:nvSpPr>
                          <a:cNvPr id="19507" name="Rectangle 6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20" y="576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006B61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9508" name="Rectangle 6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68" y="624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9504" name="Rectangle 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68" y="2640"/>
                          <a:ext cx="960" cy="4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90000"/>
                              </a:lnSpc>
                            </a:pPr>
                            <a:r>
                              <a:rPr lang="en-US" sz="2000"/>
                              <a:t>Importer’s</a:t>
                            </a:r>
                          </a:p>
                          <a:p>
                            <a:pPr>
                              <a:lnSpc>
                                <a:spcPct val="90000"/>
                              </a:lnSpc>
                            </a:pPr>
                            <a:r>
                              <a:rPr lang="en-US" sz="2000"/>
                              <a:t>Bank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9505" name="Rectangle 2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4" y="1056"/>
                          <a:ext cx="1027" cy="3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2. Apply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for L/C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506" name="Line 79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200" y="1008"/>
                          <a:ext cx="0" cy="1584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" name="Group 86"/>
                      <a:cNvGrpSpPr>
                        <a:grpSpLocks/>
                      </a:cNvGrpSpPr>
                    </a:nvGrpSpPr>
                    <a:grpSpPr bwMode="auto">
                      <a:xfrm>
                        <a:off x="2133600" y="1600200"/>
                        <a:ext cx="1597025" cy="2514600"/>
                        <a:chOff x="1344" y="1008"/>
                        <a:chExt cx="1006" cy="1584"/>
                      </a:xfrm>
                    </a:grpSpPr>
                    <a:sp>
                      <a:nvSpPr>
                        <a:cNvPr id="19501" name="Rectangle 2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344" y="1488"/>
                          <a:ext cx="1006" cy="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rgbClr val="CC0000"/>
                                </a:solidFill>
                              </a:rPr>
                              <a:t>11.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rgbClr val="CC0000"/>
                                </a:solidFill>
                              </a:rPr>
                              <a:t>Shipping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rgbClr val="CC0000"/>
                                </a:solidFill>
                              </a:rPr>
                              <a:t>Documents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502" name="Line 80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1344" y="1008"/>
                          <a:ext cx="0" cy="1584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165970" name="Rectangle 82"/>
                      <a:cNvSpPr>
                        <a:spLocks noChangeArrowheads="1"/>
                      </a:cNvSpPr>
                    </a:nvSpPr>
                    <a:spPr bwMode="auto">
                      <a:xfrm>
                        <a:off x="228600" y="3276600"/>
                        <a:ext cx="1630363" cy="8651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/>
                            <a:t>14. Pay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/>
                            <a:t>Face Value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/>
                            <a:t>of BA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65971" name="Rectangle 83"/>
                      <a:cNvSpPr>
                        <a:spLocks noChangeArrowheads="1"/>
                      </a:cNvSpPr>
                    </a:nvSpPr>
                    <a:spPr bwMode="auto">
                      <a:xfrm>
                        <a:off x="228600" y="2362200"/>
                        <a:ext cx="1630363" cy="8651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10. Sign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Promissory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Note to Pay</a:t>
                          </a:r>
                          <a:endParaRPr lang="en-US" sz="2000"/>
                        </a:p>
                      </a:txBody>
                      <a:useSpRect/>
                    </a:txSp>
                  </a:sp>
                  <a:grpSp>
                    <a:nvGrpSpPr>
                      <a:cNvPr id="9" name="Group 90"/>
                      <a:cNvGrpSpPr>
                        <a:grpSpLocks/>
                      </a:cNvGrpSpPr>
                    </a:nvGrpSpPr>
                    <a:grpSpPr bwMode="auto">
                      <a:xfrm>
                        <a:off x="5562600" y="1600200"/>
                        <a:ext cx="1600200" cy="2514600"/>
                        <a:chOff x="3504" y="1008"/>
                        <a:chExt cx="1008" cy="1584"/>
                      </a:xfrm>
                    </a:grpSpPr>
                    <a:sp>
                      <a:nvSpPr>
                        <a:cNvPr id="19499" name="Rectangle 2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504" y="1344"/>
                          <a:ext cx="986" cy="8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6.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Shipping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Documents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&amp; Time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Draft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500" name="Line 8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4512" y="1008"/>
                          <a:ext cx="0" cy="1584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0" name="Group 92"/>
                      <a:cNvGrpSpPr>
                        <a:grpSpLocks/>
                      </a:cNvGrpSpPr>
                    </a:nvGrpSpPr>
                    <a:grpSpPr bwMode="auto">
                      <a:xfrm>
                        <a:off x="7391400" y="1600200"/>
                        <a:ext cx="1600200" cy="2514600"/>
                        <a:chOff x="4656" y="1008"/>
                        <a:chExt cx="1008" cy="1584"/>
                      </a:xfrm>
                    </a:grpSpPr>
                    <a:sp>
                      <a:nvSpPr>
                        <a:cNvPr id="19497" name="Rectangle 42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656" y="1248"/>
                          <a:ext cx="1008" cy="3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4. L/C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Notification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498" name="Line 89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4656" y="1008"/>
                          <a:ext cx="0" cy="1584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165979" name="Rectangle 91"/>
                      <a:cNvSpPr>
                        <a:spLocks noChangeArrowheads="1"/>
                      </a:cNvSpPr>
                    </a:nvSpPr>
                    <a:spPr bwMode="auto">
                      <a:xfrm>
                        <a:off x="7391400" y="2743200"/>
                        <a:ext cx="1600200" cy="1123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9. Pay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Discounted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Value of</a:t>
                          </a:r>
                        </a:p>
                        <a:p>
                          <a:pPr>
                            <a:lnSpc>
                              <a:spcPct val="85000"/>
                            </a:lnSpc>
                          </a:pPr>
                          <a:r>
                            <a:rPr lang="en-US" sz="2000">
                              <a:solidFill>
                                <a:srgbClr val="CC0000"/>
                              </a:solidFill>
                            </a:rPr>
                            <a:t>BA</a:t>
                          </a:r>
                          <a:endParaRPr lang="en-US" sz="2000"/>
                        </a:p>
                      </a:txBody>
                      <a:useSpRect/>
                    </a:txSp>
                  </a:sp>
                  <a:grpSp>
                    <a:nvGrpSpPr>
                      <a:cNvPr id="11" name="Group 97"/>
                      <a:cNvGrpSpPr>
                        <a:grpSpLocks/>
                      </a:cNvGrpSpPr>
                    </a:nvGrpSpPr>
                    <a:grpSpPr bwMode="auto">
                      <a:xfrm>
                        <a:off x="2743200" y="4648200"/>
                        <a:ext cx="3733800" cy="682625"/>
                        <a:chOff x="1728" y="2928"/>
                        <a:chExt cx="2352" cy="430"/>
                      </a:xfrm>
                    </a:grpSpPr>
                    <a:sp>
                      <a:nvSpPr>
                        <a:cNvPr id="19495" name="Rectangle 2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954" y="2976"/>
                          <a:ext cx="2052" cy="3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7. Shipping Documents &amp;</a:t>
                            </a:r>
                          </a:p>
                          <a:p>
                            <a:pPr>
                              <a:lnSpc>
                                <a:spcPct val="85000"/>
                              </a:lnSpc>
                            </a:pPr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Time Draft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496" name="Line 94"/>
                        <a:cNvSpPr>
                          <a:spLocks noChangeShapeType="1"/>
                        </a:cNvSpPr>
                      </a:nvSpPr>
                      <a:spPr bwMode="auto">
                        <a:xfrm flipH="1">
                          <a:off x="1728" y="2928"/>
                          <a:ext cx="2352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2" name="Group 96"/>
                      <a:cNvGrpSpPr>
                        <a:grpSpLocks/>
                      </a:cNvGrpSpPr>
                    </a:nvGrpSpPr>
                    <a:grpSpPr bwMode="auto">
                      <a:xfrm>
                        <a:off x="2743200" y="4038600"/>
                        <a:ext cx="5334000" cy="790575"/>
                        <a:chOff x="1728" y="2544"/>
                        <a:chExt cx="3360" cy="498"/>
                      </a:xfrm>
                    </a:grpSpPr>
                    <a:grpSp>
                      <a:nvGrpSpPr>
                        <a:cNvPr id="42" name="Group 70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080" y="2592"/>
                          <a:ext cx="1008" cy="432"/>
                          <a:chOff x="720" y="576"/>
                          <a:chExt cx="1008" cy="432"/>
                        </a:xfrm>
                      </a:grpSpPr>
                      <a:sp>
                        <a:nvSpPr>
                          <a:cNvPr id="19493" name="Rectangle 71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20" y="576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006B61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9494" name="Rectangle 7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68" y="624"/>
                            <a:ext cx="960" cy="3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6B61"/>
                            </a:solidFill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ctr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2400" b="1"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9490" name="Rectangle 3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128" y="2640"/>
                          <a:ext cx="960" cy="4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90000"/>
                              </a:lnSpc>
                            </a:pPr>
                            <a:r>
                              <a:rPr lang="en-US" sz="2000"/>
                              <a:t>Exporter’s</a:t>
                            </a:r>
                          </a:p>
                          <a:p>
                            <a:pPr>
                              <a:lnSpc>
                                <a:spcPct val="90000"/>
                              </a:lnSpc>
                            </a:pPr>
                            <a:r>
                              <a:rPr lang="en-US" sz="2000"/>
                              <a:t>Bank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9491" name="Line 93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728" y="2784"/>
                          <a:ext cx="2352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92" name="Rectangle 9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544" y="2544"/>
                          <a:ext cx="672" cy="2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000">
                                <a:solidFill>
                                  <a:schemeClr val="accent2"/>
                                </a:solidFill>
                              </a:rPr>
                              <a:t>3. L/C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4" name="Group 107"/>
                      <a:cNvGrpSpPr>
                        <a:grpSpLocks/>
                      </a:cNvGrpSpPr>
                    </a:nvGrpSpPr>
                    <a:grpSpPr bwMode="auto">
                      <a:xfrm>
                        <a:off x="762000" y="4648200"/>
                        <a:ext cx="5638800" cy="1552575"/>
                        <a:chOff x="480" y="2928"/>
                        <a:chExt cx="3552" cy="978"/>
                      </a:xfrm>
                    </a:grpSpPr>
                    <a:sp>
                      <a:nvSpPr>
                        <a:cNvPr id="19482" name="Rectangle 50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80" y="3168"/>
                          <a:ext cx="2206" cy="2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l">
                              <a:lnSpc>
                                <a:spcPct val="90000"/>
                              </a:lnSpc>
                            </a:pPr>
                            <a:r>
                              <a:rPr lang="en-US" sz="2000">
                                <a:solidFill>
                                  <a:srgbClr val="CC0000"/>
                                </a:solidFill>
                              </a:rPr>
                              <a:t>12. BA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483" name="Rectangle 7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784" y="3456"/>
                          <a:ext cx="1200" cy="384"/>
                        </a:xfrm>
                        <a:prstGeom prst="rect">
                          <a:avLst/>
                        </a:prstGeom>
                        <a:solidFill>
                          <a:srgbClr val="006B61"/>
                        </a:solidFill>
                        <a:ln w="12700">
                          <a:solidFill>
                            <a:srgbClr val="006B61"/>
                          </a:solidFill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84" name="Rectangle 7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832" y="3504"/>
                          <a:ext cx="1200" cy="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6B61"/>
                          </a:solidFill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85" name="Rectangle 4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832" y="3504"/>
                          <a:ext cx="1200" cy="4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lnSpc>
                                <a:spcPct val="90000"/>
                              </a:lnSpc>
                            </a:pPr>
                            <a:r>
                              <a:rPr lang="en-US" sz="2000"/>
                              <a:t>Money Market Investor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19486" name="Line 99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480" y="2928"/>
                          <a:ext cx="24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87" name="Line 100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480" y="2928"/>
                          <a:ext cx="0" cy="72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88" name="Line 102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480" y="3648"/>
                          <a:ext cx="2304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15" name="Group 106"/>
                      <a:cNvGrpSpPr>
                        <a:grpSpLocks/>
                      </a:cNvGrpSpPr>
                    </a:nvGrpSpPr>
                    <a:grpSpPr bwMode="auto">
                      <a:xfrm>
                        <a:off x="228600" y="4419600"/>
                        <a:ext cx="4191000" cy="1993900"/>
                        <a:chOff x="144" y="2784"/>
                        <a:chExt cx="2640" cy="1256"/>
                      </a:xfrm>
                    </a:grpSpPr>
                    <a:sp>
                      <a:nvSpPr>
                        <a:cNvPr id="19478" name="Rectangle 51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4" y="3792"/>
                          <a:ext cx="2638" cy="2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2000">
                                <a:solidFill>
                                  <a:srgbClr val="CC0000"/>
                                </a:solidFill>
                              </a:rPr>
                              <a:t>13. Pay Discounted Value of BA</a:t>
                            </a:r>
                            <a:endParaRPr lang="en-US" sz="2000"/>
                          </a:p>
                        </a:txBody>
                        <a:useSpRect/>
                      </a:txSp>
                    </a:sp>
                    <a:sp>
                      <a:nvSpPr>
                        <a:cNvPr id="19479" name="Line 9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36" y="2784"/>
                          <a:ext cx="384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80" name="Line 101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36" y="2784"/>
                          <a:ext cx="0" cy="1008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19481" name="Line 103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36" y="3792"/>
                          <a:ext cx="2448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6B61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ctr" rtl="0" eaLnBrk="0" fontAlgn="base" hangingPunct="0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2400" b="1"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165992" name="Rectangle 104"/>
                      <a:cNvSpPr>
                        <a:spLocks noChangeArrowheads="1"/>
                      </a:cNvSpPr>
                    </a:nvSpPr>
                    <a:spPr bwMode="auto">
                      <a:xfrm>
                        <a:off x="762000" y="5334000"/>
                        <a:ext cx="3502025" cy="3635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l">
                            <a:lnSpc>
                              <a:spcPct val="90000"/>
                            </a:lnSpc>
                          </a:pPr>
                          <a:r>
                            <a:rPr lang="en-US" sz="2000"/>
                            <a:t>16. Pay Face Value of BA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65993" name="Rectangle 105"/>
                      <a:cNvSpPr>
                        <a:spLocks noChangeArrowheads="1"/>
                      </a:cNvSpPr>
                    </a:nvSpPr>
                    <a:spPr bwMode="auto">
                      <a:xfrm>
                        <a:off x="228600" y="6324600"/>
                        <a:ext cx="4187825" cy="36353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lnSpc>
                              <a:spcPct val="90000"/>
                            </a:lnSpc>
                          </a:pPr>
                          <a:r>
                            <a:rPr lang="en-US" sz="2000"/>
                            <a:t>15. Present BA at Maturity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65996" name="Rectangle 108"/>
                      <a:cNvSpPr>
                        <a:spLocks noChangeArrowheads="1"/>
                      </a:cNvSpPr>
                    </a:nvSpPr>
                    <a:spPr bwMode="auto">
                      <a:xfrm>
                        <a:off x="6629400" y="5867400"/>
                        <a:ext cx="2263775" cy="5826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l">
                            <a:tabLst>
                              <a:tab pos="292100" algn="ctr"/>
                              <a:tab pos="685800" algn="l"/>
                              <a:tab pos="863600" algn="l"/>
                            </a:tabLst>
                          </a:pPr>
                          <a:r>
                            <a:rPr lang="en-US" sz="1800"/>
                            <a:t>14</a:t>
                          </a:r>
                          <a:r>
                            <a:rPr lang="en-US" sz="800"/>
                            <a:t> </a:t>
                          </a:r>
                          <a:r>
                            <a:rPr lang="en-US" sz="1800"/>
                            <a:t>-</a:t>
                          </a:r>
                          <a:r>
                            <a:rPr lang="en-US" sz="800"/>
                            <a:t> </a:t>
                          </a:r>
                          <a:r>
                            <a:rPr lang="en-US" sz="1800"/>
                            <a:t>16	:	When BA</a:t>
                          </a:r>
                        </a:p>
                        <a:p>
                          <a:pPr algn="l">
                            <a:lnSpc>
                              <a:spcPct val="80000"/>
                            </a:lnSpc>
                            <a:tabLst>
                              <a:tab pos="292100" algn="ctr"/>
                              <a:tab pos="685800" algn="l"/>
                              <a:tab pos="863600" algn="l"/>
                            </a:tabLst>
                          </a:pPr>
                          <a:r>
                            <a:rPr lang="en-US" sz="1800"/>
                            <a:t>			matures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65997" name="Rectangle 109"/>
                      <a:cNvSpPr>
                        <a:spLocks noChangeArrowheads="1"/>
                      </a:cNvSpPr>
                    </a:nvSpPr>
                    <a:spPr bwMode="auto">
                      <a:xfrm>
                        <a:off x="6629400" y="5334000"/>
                        <a:ext cx="2263775" cy="5826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eaLnBrk="0" fontAlgn="base" hangingPunct="0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b="1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l">
                            <a:spcBef>
                              <a:spcPct val="10000"/>
                            </a:spcBef>
                            <a:tabLst>
                              <a:tab pos="292100" algn="ctr"/>
                              <a:tab pos="685800" algn="l"/>
                              <a:tab pos="863600" algn="l"/>
                            </a:tabLst>
                          </a:pPr>
                          <a:r>
                            <a:rPr lang="en-US" sz="1800">
                              <a:solidFill>
                                <a:srgbClr val="CC0000"/>
                              </a:solidFill>
                            </a:rPr>
                            <a:t>	8</a:t>
                          </a:r>
                          <a:r>
                            <a:rPr lang="en-US" sz="800">
                              <a:solidFill>
                                <a:srgbClr val="CC0000"/>
                              </a:solidFill>
                            </a:rPr>
                            <a:t> </a:t>
                          </a:r>
                          <a:r>
                            <a:rPr lang="en-US" sz="1800">
                              <a:solidFill>
                                <a:srgbClr val="CC0000"/>
                              </a:solidFill>
                            </a:rPr>
                            <a:t>-</a:t>
                          </a:r>
                          <a:r>
                            <a:rPr lang="en-US" sz="800">
                              <a:solidFill>
                                <a:srgbClr val="CC0000"/>
                              </a:solidFill>
                            </a:rPr>
                            <a:t> </a:t>
                          </a:r>
                          <a:r>
                            <a:rPr lang="en-US" sz="1800">
                              <a:solidFill>
                                <a:srgbClr val="CC0000"/>
                              </a:solidFill>
                            </a:rPr>
                            <a:t>13	:	When BA</a:t>
                          </a:r>
                        </a:p>
                        <a:p>
                          <a:pPr algn="l">
                            <a:lnSpc>
                              <a:spcPct val="80000"/>
                            </a:lnSpc>
                            <a:tabLst>
                              <a:tab pos="292100" algn="ctr"/>
                              <a:tab pos="685800" algn="l"/>
                              <a:tab pos="863600" algn="l"/>
                            </a:tabLst>
                          </a:pPr>
                          <a:r>
                            <a:rPr lang="en-US" sz="1800">
                              <a:solidFill>
                                <a:srgbClr val="CC0000"/>
                              </a:solidFill>
                            </a:rPr>
                            <a:t>			is created</a:t>
                          </a:r>
                          <a:endParaRPr lang="en-US" sz="180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760C" w:rsidRDefault="0095760C" w:rsidP="0095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95760C" w:rsidRDefault="00296D76" w:rsidP="0095760C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Working Capital Financing</w:t>
      </w:r>
    </w:p>
    <w:p w:rsidR="00000000" w:rsidRPr="0095760C" w:rsidRDefault="00296D76" w:rsidP="0095760C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Banks may provide short-term loans that finance the working capital cycle, from the purchase of inventory until the eventual conversion to cash.</w:t>
      </w:r>
    </w:p>
    <w:p w:rsidR="00000000" w:rsidRPr="0095760C" w:rsidRDefault="00296D76" w:rsidP="0095760C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Medium-Term Capital Goods Financing (</w:t>
      </w:r>
      <w:proofErr w:type="spellStart"/>
      <w:r w:rsidRPr="0095760C">
        <w:rPr>
          <w:rFonts w:ascii="Times New Roman" w:hAnsi="Times New Roman" w:cs="Times New Roman"/>
          <w:sz w:val="24"/>
          <w:szCs w:val="24"/>
        </w:rPr>
        <w:t>Forfaiting</w:t>
      </w:r>
      <w:proofErr w:type="spellEnd"/>
      <w:r w:rsidRPr="0095760C">
        <w:rPr>
          <w:rFonts w:ascii="Times New Roman" w:hAnsi="Times New Roman" w:cs="Times New Roman"/>
          <w:sz w:val="24"/>
          <w:szCs w:val="24"/>
        </w:rPr>
        <w:t>)</w:t>
      </w:r>
    </w:p>
    <w:p w:rsidR="00000000" w:rsidRPr="0095760C" w:rsidRDefault="00296D76" w:rsidP="0095760C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importer issues a promissory note to the exporter to pay for its imported capital goods over a period that generally ranges from three to seven years.</w:t>
      </w:r>
    </w:p>
    <w:p w:rsidR="00000000" w:rsidRPr="0095760C" w:rsidRDefault="00296D76" w:rsidP="0095760C">
      <w:pPr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The exporter then sells the note, without recourse, to a bank (the </w:t>
      </w:r>
      <w:proofErr w:type="spellStart"/>
      <w:r w:rsidRPr="0095760C">
        <w:rPr>
          <w:rFonts w:ascii="Times New Roman" w:hAnsi="Times New Roman" w:cs="Times New Roman"/>
          <w:sz w:val="24"/>
          <w:szCs w:val="24"/>
        </w:rPr>
        <w:t>forfaiting</w:t>
      </w:r>
      <w:proofErr w:type="spellEnd"/>
      <w:r w:rsidRPr="0095760C">
        <w:rPr>
          <w:rFonts w:ascii="Times New Roman" w:hAnsi="Times New Roman" w:cs="Times New Roman"/>
          <w:sz w:val="24"/>
          <w:szCs w:val="24"/>
        </w:rPr>
        <w:t xml:space="preserve"> bank).</w:t>
      </w:r>
    </w:p>
    <w:p w:rsidR="00000000" w:rsidRPr="0095760C" w:rsidRDefault="00296D76" w:rsidP="0095760C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Countertrade</w:t>
      </w:r>
    </w:p>
    <w:p w:rsidR="00000000" w:rsidRPr="0095760C" w:rsidRDefault="00296D76" w:rsidP="0095760C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These are foreign trade transactions in which the sale of goods to one country is linked to the purchase or exchange of goods from th</w:t>
      </w:r>
      <w:r w:rsidRPr="0095760C">
        <w:rPr>
          <w:rFonts w:ascii="Times New Roman" w:hAnsi="Times New Roman" w:cs="Times New Roman"/>
          <w:sz w:val="24"/>
          <w:szCs w:val="24"/>
        </w:rPr>
        <w:t>at same country.</w:t>
      </w:r>
    </w:p>
    <w:p w:rsidR="00000000" w:rsidRPr="0095760C" w:rsidRDefault="00296D76" w:rsidP="0095760C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 xml:space="preserve">Common countertrade types include barter, compensation (product buy-back), and </w:t>
      </w:r>
      <w:r w:rsidR="0095760C" w:rsidRPr="0095760C">
        <w:rPr>
          <w:rFonts w:ascii="Times New Roman" w:hAnsi="Times New Roman" w:cs="Times New Roman"/>
          <w:sz w:val="24"/>
          <w:szCs w:val="24"/>
        </w:rPr>
        <w:t>counter purchase</w:t>
      </w:r>
      <w:r w:rsidRPr="0095760C">
        <w:rPr>
          <w:rFonts w:ascii="Times New Roman" w:hAnsi="Times New Roman" w:cs="Times New Roman"/>
          <w:sz w:val="24"/>
          <w:szCs w:val="24"/>
        </w:rPr>
        <w:t>.</w:t>
      </w:r>
    </w:p>
    <w:p w:rsidR="00296D76" w:rsidRPr="0095760C" w:rsidRDefault="00296D76" w:rsidP="0095760C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60C">
        <w:rPr>
          <w:rFonts w:ascii="Times New Roman" w:hAnsi="Times New Roman" w:cs="Times New Roman"/>
          <w:sz w:val="24"/>
          <w:szCs w:val="24"/>
        </w:rPr>
        <w:t>The primary participants are governments and multinationals.</w:t>
      </w:r>
    </w:p>
    <w:sectPr w:rsidR="00296D76" w:rsidRPr="0095760C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219B"/>
    <w:multiLevelType w:val="hybridMultilevel"/>
    <w:tmpl w:val="F84C12BA"/>
    <w:lvl w:ilvl="0" w:tplc="B4F483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EC8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07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647B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C2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B00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4461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844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82E6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4294B52"/>
    <w:multiLevelType w:val="hybridMultilevel"/>
    <w:tmpl w:val="B966FCEE"/>
    <w:lvl w:ilvl="0" w:tplc="CD7000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3EA1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A60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6842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854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9E2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BA12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E80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32C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A465F23"/>
    <w:multiLevelType w:val="hybridMultilevel"/>
    <w:tmpl w:val="20FCD6AC"/>
    <w:lvl w:ilvl="0" w:tplc="2C84111C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F01294">
      <w:start w:val="8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0EDD06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7C379E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2CF390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F2C350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86D168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EE4460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F6C8F4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EA092C"/>
    <w:multiLevelType w:val="hybridMultilevel"/>
    <w:tmpl w:val="0F88565C"/>
    <w:lvl w:ilvl="0" w:tplc="99746EEE">
      <w:start w:val="1"/>
      <w:numFmt w:val="bullet"/>
      <w:lvlText w:val="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3A0BA6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E8C7A8" w:tentative="1">
      <w:start w:val="1"/>
      <w:numFmt w:val="bullet"/>
      <w:lvlText w:val="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B256B6" w:tentative="1">
      <w:start w:val="1"/>
      <w:numFmt w:val="bullet"/>
      <w:lvlText w:val="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C0E310" w:tentative="1">
      <w:start w:val="1"/>
      <w:numFmt w:val="bullet"/>
      <w:lvlText w:val="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56BD08" w:tentative="1">
      <w:start w:val="1"/>
      <w:numFmt w:val="bullet"/>
      <w:lvlText w:val="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98E1DE" w:tentative="1">
      <w:start w:val="1"/>
      <w:numFmt w:val="bullet"/>
      <w:lvlText w:val="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940558" w:tentative="1">
      <w:start w:val="1"/>
      <w:numFmt w:val="bullet"/>
      <w:lvlText w:val="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329B98" w:tentative="1">
      <w:start w:val="1"/>
      <w:numFmt w:val="bullet"/>
      <w:lvlText w:val="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8213DD"/>
    <w:multiLevelType w:val="hybridMultilevel"/>
    <w:tmpl w:val="7C706782"/>
    <w:lvl w:ilvl="0" w:tplc="58C6F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8A6CAA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88E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924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84E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CAFD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F8E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72B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B62C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057658A"/>
    <w:multiLevelType w:val="hybridMultilevel"/>
    <w:tmpl w:val="60A049AE"/>
    <w:lvl w:ilvl="0" w:tplc="0DDAE43C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567DC8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9A6D9E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C0504E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E42E94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76435E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CE6390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3E1152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1E8B0E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6D0FC5"/>
    <w:multiLevelType w:val="hybridMultilevel"/>
    <w:tmpl w:val="3A82187E"/>
    <w:lvl w:ilvl="0" w:tplc="0C9AC666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C640B4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E266BE" w:tentative="1">
      <w:start w:val="1"/>
      <w:numFmt w:val="bullet"/>
      <w:lvlText w:val="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7E4DBC" w:tentative="1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88545E" w:tentative="1">
      <w:start w:val="1"/>
      <w:numFmt w:val="bullet"/>
      <w:lvlText w:val="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DC3B62" w:tentative="1">
      <w:start w:val="1"/>
      <w:numFmt w:val="bullet"/>
      <w:lvlText w:val="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A692FE" w:tentative="1">
      <w:start w:val="1"/>
      <w:numFmt w:val="bullet"/>
      <w:lvlText w:val="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2A9EA2" w:tentative="1">
      <w:start w:val="1"/>
      <w:numFmt w:val="bullet"/>
      <w:lvlText w:val="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D6E9C8" w:tentative="1">
      <w:start w:val="1"/>
      <w:numFmt w:val="bullet"/>
      <w:lvlText w:val="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99775A"/>
    <w:multiLevelType w:val="hybridMultilevel"/>
    <w:tmpl w:val="0574742A"/>
    <w:lvl w:ilvl="0" w:tplc="DC5A20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05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164B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C0A8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288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004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AC6E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16F9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6AE1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8CC42C3"/>
    <w:multiLevelType w:val="hybridMultilevel"/>
    <w:tmpl w:val="FD2067F2"/>
    <w:lvl w:ilvl="0" w:tplc="3CCEF4E2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CA873E">
      <w:start w:val="8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1C1B7A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82C904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746016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069202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D2DB18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3EE45A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66BC28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9147DE"/>
    <w:multiLevelType w:val="hybridMultilevel"/>
    <w:tmpl w:val="B068F9FE"/>
    <w:lvl w:ilvl="0" w:tplc="2C3C75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7E11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3E7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FED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03C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385D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4D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884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0267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FB3655A"/>
    <w:multiLevelType w:val="hybridMultilevel"/>
    <w:tmpl w:val="150A7292"/>
    <w:lvl w:ilvl="0" w:tplc="EEA4C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1E7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78E6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0ABB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5470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DE1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B6E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CCE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50A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5B3205D"/>
    <w:multiLevelType w:val="hybridMultilevel"/>
    <w:tmpl w:val="98E65A38"/>
    <w:lvl w:ilvl="0" w:tplc="76B6B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80FA42">
      <w:start w:val="8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67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C8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429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5CF2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1A3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72F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A8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A1D01D5"/>
    <w:multiLevelType w:val="hybridMultilevel"/>
    <w:tmpl w:val="FD460912"/>
    <w:lvl w:ilvl="0" w:tplc="36605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DC9766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3657A6">
      <w:start w:val="1189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104E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F26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36B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47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3A2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F04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399691A"/>
    <w:multiLevelType w:val="hybridMultilevel"/>
    <w:tmpl w:val="91981824"/>
    <w:lvl w:ilvl="0" w:tplc="62584960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1C7990">
      <w:start w:val="8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28D2EC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8251B0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428ED4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7A9304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5ACDB0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36996A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7EC2A2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9738FD"/>
    <w:multiLevelType w:val="hybridMultilevel"/>
    <w:tmpl w:val="1BF02B7C"/>
    <w:lvl w:ilvl="0" w:tplc="84260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C88E78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EA7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DCB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7A6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AC7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CCB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EE45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7416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6680394"/>
    <w:multiLevelType w:val="hybridMultilevel"/>
    <w:tmpl w:val="DC88D110"/>
    <w:lvl w:ilvl="0" w:tplc="F530F6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A8E7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94D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5E3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0ACA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C8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141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6C16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6A0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CEC7408"/>
    <w:multiLevelType w:val="hybridMultilevel"/>
    <w:tmpl w:val="67963D04"/>
    <w:lvl w:ilvl="0" w:tplc="1A049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E9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0C57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1E0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F2A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621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A68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CEB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21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4DD1936"/>
    <w:multiLevelType w:val="hybridMultilevel"/>
    <w:tmpl w:val="D8DC24D4"/>
    <w:lvl w:ilvl="0" w:tplc="42646278">
      <w:start w:val="1"/>
      <w:numFmt w:val="bullet"/>
      <w:lvlText w:val="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A04A1E">
      <w:start w:val="118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266738" w:tentative="1">
      <w:start w:val="1"/>
      <w:numFmt w:val="bullet"/>
      <w:lvlText w:val="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2C3B7E" w:tentative="1">
      <w:start w:val="1"/>
      <w:numFmt w:val="bullet"/>
      <w:lvlText w:val="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10567A" w:tentative="1">
      <w:start w:val="1"/>
      <w:numFmt w:val="bullet"/>
      <w:lvlText w:val="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F089C0" w:tentative="1">
      <w:start w:val="1"/>
      <w:numFmt w:val="bullet"/>
      <w:lvlText w:val="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365740" w:tentative="1">
      <w:start w:val="1"/>
      <w:numFmt w:val="bullet"/>
      <w:lvlText w:val="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26AD00" w:tentative="1">
      <w:start w:val="1"/>
      <w:numFmt w:val="bullet"/>
      <w:lvlText w:val="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581E08" w:tentative="1">
      <w:start w:val="1"/>
      <w:numFmt w:val="bullet"/>
      <w:lvlText w:val="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0F1FF1"/>
    <w:multiLevelType w:val="hybridMultilevel"/>
    <w:tmpl w:val="3A24C852"/>
    <w:lvl w:ilvl="0" w:tplc="6ECE4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80B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566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AA77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9AA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B8D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8405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3C6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D24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C290442"/>
    <w:multiLevelType w:val="hybridMultilevel"/>
    <w:tmpl w:val="2CBEFD8C"/>
    <w:lvl w:ilvl="0" w:tplc="896EC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F04EF0">
      <w:start w:val="8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445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486A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182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3EA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E21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6E0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E687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18"/>
  </w:num>
  <w:num w:numId="3">
    <w:abstractNumId w:val="16"/>
  </w:num>
  <w:num w:numId="4">
    <w:abstractNumId w:val="15"/>
  </w:num>
  <w:num w:numId="5">
    <w:abstractNumId w:val="1"/>
  </w:num>
  <w:num w:numId="6">
    <w:abstractNumId w:val="9"/>
  </w:num>
  <w:num w:numId="7">
    <w:abstractNumId w:val="13"/>
  </w:num>
  <w:num w:numId="8">
    <w:abstractNumId w:val="8"/>
  </w:num>
  <w:num w:numId="9">
    <w:abstractNumId w:val="0"/>
  </w:num>
  <w:num w:numId="10">
    <w:abstractNumId w:val="2"/>
  </w:num>
  <w:num w:numId="11">
    <w:abstractNumId w:val="11"/>
  </w:num>
  <w:num w:numId="12">
    <w:abstractNumId w:val="12"/>
  </w:num>
  <w:num w:numId="13">
    <w:abstractNumId w:val="5"/>
  </w:num>
  <w:num w:numId="14">
    <w:abstractNumId w:val="4"/>
  </w:num>
  <w:num w:numId="15">
    <w:abstractNumId w:val="17"/>
  </w:num>
  <w:num w:numId="16">
    <w:abstractNumId w:val="7"/>
  </w:num>
  <w:num w:numId="17">
    <w:abstractNumId w:val="3"/>
  </w:num>
  <w:num w:numId="18">
    <w:abstractNumId w:val="10"/>
  </w:num>
  <w:num w:numId="19">
    <w:abstractNumId w:val="6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savePreviewPicture/>
  <w:compat/>
  <w:rsids>
    <w:rsidRoot w:val="0095760C"/>
    <w:rsid w:val="00001D19"/>
    <w:rsid w:val="00001D50"/>
    <w:rsid w:val="00005BE1"/>
    <w:rsid w:val="000136C9"/>
    <w:rsid w:val="00021931"/>
    <w:rsid w:val="00024B24"/>
    <w:rsid w:val="00027B57"/>
    <w:rsid w:val="00031600"/>
    <w:rsid w:val="00033A29"/>
    <w:rsid w:val="00036DB6"/>
    <w:rsid w:val="00040199"/>
    <w:rsid w:val="00046410"/>
    <w:rsid w:val="000472E0"/>
    <w:rsid w:val="0004780B"/>
    <w:rsid w:val="00052E41"/>
    <w:rsid w:val="00056AE3"/>
    <w:rsid w:val="00060D4D"/>
    <w:rsid w:val="000654F2"/>
    <w:rsid w:val="0006559A"/>
    <w:rsid w:val="00066300"/>
    <w:rsid w:val="00067F63"/>
    <w:rsid w:val="00070C2D"/>
    <w:rsid w:val="00073A16"/>
    <w:rsid w:val="00075D16"/>
    <w:rsid w:val="00077C9C"/>
    <w:rsid w:val="00080913"/>
    <w:rsid w:val="00080D7D"/>
    <w:rsid w:val="00080ECC"/>
    <w:rsid w:val="00081ADD"/>
    <w:rsid w:val="00086D95"/>
    <w:rsid w:val="00090180"/>
    <w:rsid w:val="00090551"/>
    <w:rsid w:val="00091BED"/>
    <w:rsid w:val="00093A61"/>
    <w:rsid w:val="000950A2"/>
    <w:rsid w:val="00095657"/>
    <w:rsid w:val="00096376"/>
    <w:rsid w:val="000A0AE2"/>
    <w:rsid w:val="000A14A0"/>
    <w:rsid w:val="000A4473"/>
    <w:rsid w:val="000B16A6"/>
    <w:rsid w:val="000B2023"/>
    <w:rsid w:val="000B27A7"/>
    <w:rsid w:val="000B35C7"/>
    <w:rsid w:val="000B74CA"/>
    <w:rsid w:val="000C5644"/>
    <w:rsid w:val="000D3C50"/>
    <w:rsid w:val="000D4B0F"/>
    <w:rsid w:val="000D5B40"/>
    <w:rsid w:val="000D5DE2"/>
    <w:rsid w:val="000D6D74"/>
    <w:rsid w:val="000D760F"/>
    <w:rsid w:val="000E4C02"/>
    <w:rsid w:val="000E7D6E"/>
    <w:rsid w:val="000F00B1"/>
    <w:rsid w:val="000F0D71"/>
    <w:rsid w:val="000F2006"/>
    <w:rsid w:val="000F20F2"/>
    <w:rsid w:val="000F3601"/>
    <w:rsid w:val="000F396C"/>
    <w:rsid w:val="000F3B8C"/>
    <w:rsid w:val="000F5ADE"/>
    <w:rsid w:val="000F60EC"/>
    <w:rsid w:val="000F7A67"/>
    <w:rsid w:val="0010013D"/>
    <w:rsid w:val="00102D40"/>
    <w:rsid w:val="0010457F"/>
    <w:rsid w:val="0010499F"/>
    <w:rsid w:val="00110AD5"/>
    <w:rsid w:val="00116E22"/>
    <w:rsid w:val="001179CA"/>
    <w:rsid w:val="00120BC3"/>
    <w:rsid w:val="001232CE"/>
    <w:rsid w:val="001304DE"/>
    <w:rsid w:val="00136AE2"/>
    <w:rsid w:val="00136DB2"/>
    <w:rsid w:val="00141EE5"/>
    <w:rsid w:val="001454D9"/>
    <w:rsid w:val="00150758"/>
    <w:rsid w:val="00150845"/>
    <w:rsid w:val="00152E9D"/>
    <w:rsid w:val="00153D4B"/>
    <w:rsid w:val="001560EF"/>
    <w:rsid w:val="0016386B"/>
    <w:rsid w:val="00165488"/>
    <w:rsid w:val="00165994"/>
    <w:rsid w:val="00170201"/>
    <w:rsid w:val="00172075"/>
    <w:rsid w:val="001767B7"/>
    <w:rsid w:val="0017691B"/>
    <w:rsid w:val="00176FAF"/>
    <w:rsid w:val="0017762B"/>
    <w:rsid w:val="00192363"/>
    <w:rsid w:val="00195C05"/>
    <w:rsid w:val="001A17F1"/>
    <w:rsid w:val="001A3320"/>
    <w:rsid w:val="001A733F"/>
    <w:rsid w:val="001B13CC"/>
    <w:rsid w:val="001B43FF"/>
    <w:rsid w:val="001B58AC"/>
    <w:rsid w:val="001C08F3"/>
    <w:rsid w:val="001C3C34"/>
    <w:rsid w:val="001C6E26"/>
    <w:rsid w:val="001D0D79"/>
    <w:rsid w:val="001D38EF"/>
    <w:rsid w:val="001E0317"/>
    <w:rsid w:val="001E187A"/>
    <w:rsid w:val="001E3347"/>
    <w:rsid w:val="001E4291"/>
    <w:rsid w:val="001E53E8"/>
    <w:rsid w:val="001E6459"/>
    <w:rsid w:val="001E7BF3"/>
    <w:rsid w:val="002004C7"/>
    <w:rsid w:val="002007D1"/>
    <w:rsid w:val="002042D9"/>
    <w:rsid w:val="00215C2D"/>
    <w:rsid w:val="002167A3"/>
    <w:rsid w:val="00216BBF"/>
    <w:rsid w:val="00223F56"/>
    <w:rsid w:val="0022758C"/>
    <w:rsid w:val="00230245"/>
    <w:rsid w:val="00232B51"/>
    <w:rsid w:val="00234666"/>
    <w:rsid w:val="002355B5"/>
    <w:rsid w:val="0023650E"/>
    <w:rsid w:val="00236BAF"/>
    <w:rsid w:val="00237313"/>
    <w:rsid w:val="00245338"/>
    <w:rsid w:val="00245915"/>
    <w:rsid w:val="002468D2"/>
    <w:rsid w:val="002502C1"/>
    <w:rsid w:val="0025134B"/>
    <w:rsid w:val="00252923"/>
    <w:rsid w:val="002564F6"/>
    <w:rsid w:val="00256B31"/>
    <w:rsid w:val="002626C7"/>
    <w:rsid w:val="00262F60"/>
    <w:rsid w:val="00263E16"/>
    <w:rsid w:val="00264F15"/>
    <w:rsid w:val="00266233"/>
    <w:rsid w:val="00267036"/>
    <w:rsid w:val="00270392"/>
    <w:rsid w:val="00272025"/>
    <w:rsid w:val="002808BB"/>
    <w:rsid w:val="00281B8C"/>
    <w:rsid w:val="00282537"/>
    <w:rsid w:val="00282A23"/>
    <w:rsid w:val="00285492"/>
    <w:rsid w:val="002907ED"/>
    <w:rsid w:val="00292C44"/>
    <w:rsid w:val="002956A5"/>
    <w:rsid w:val="00296595"/>
    <w:rsid w:val="00296D76"/>
    <w:rsid w:val="002B5727"/>
    <w:rsid w:val="002B6B9B"/>
    <w:rsid w:val="002B743F"/>
    <w:rsid w:val="002C2D48"/>
    <w:rsid w:val="002C4131"/>
    <w:rsid w:val="002C59E0"/>
    <w:rsid w:val="002D0FA8"/>
    <w:rsid w:val="002D18C9"/>
    <w:rsid w:val="002D341E"/>
    <w:rsid w:val="002D35CC"/>
    <w:rsid w:val="002D512F"/>
    <w:rsid w:val="002D5650"/>
    <w:rsid w:val="002D5E2F"/>
    <w:rsid w:val="002D5FD1"/>
    <w:rsid w:val="002D7413"/>
    <w:rsid w:val="002E04FE"/>
    <w:rsid w:val="002E1972"/>
    <w:rsid w:val="002E4AEE"/>
    <w:rsid w:val="002E745F"/>
    <w:rsid w:val="002F0AEE"/>
    <w:rsid w:val="002F1E2A"/>
    <w:rsid w:val="002F42CE"/>
    <w:rsid w:val="003010ED"/>
    <w:rsid w:val="003039D8"/>
    <w:rsid w:val="003041FE"/>
    <w:rsid w:val="00304335"/>
    <w:rsid w:val="003058B6"/>
    <w:rsid w:val="003104D5"/>
    <w:rsid w:val="00310F11"/>
    <w:rsid w:val="0031410A"/>
    <w:rsid w:val="00315BB1"/>
    <w:rsid w:val="00317F6E"/>
    <w:rsid w:val="00320663"/>
    <w:rsid w:val="00322AC4"/>
    <w:rsid w:val="00323643"/>
    <w:rsid w:val="003277E4"/>
    <w:rsid w:val="00331C1C"/>
    <w:rsid w:val="00343407"/>
    <w:rsid w:val="00346AC7"/>
    <w:rsid w:val="00352A0B"/>
    <w:rsid w:val="00352E68"/>
    <w:rsid w:val="00354C4C"/>
    <w:rsid w:val="00355A50"/>
    <w:rsid w:val="003573D9"/>
    <w:rsid w:val="00361A4B"/>
    <w:rsid w:val="00364C88"/>
    <w:rsid w:val="0036610A"/>
    <w:rsid w:val="00374455"/>
    <w:rsid w:val="00380839"/>
    <w:rsid w:val="00382796"/>
    <w:rsid w:val="003835B8"/>
    <w:rsid w:val="00384EB0"/>
    <w:rsid w:val="0038670C"/>
    <w:rsid w:val="00392336"/>
    <w:rsid w:val="00396762"/>
    <w:rsid w:val="003A4884"/>
    <w:rsid w:val="003A7472"/>
    <w:rsid w:val="003B4358"/>
    <w:rsid w:val="003B7B9A"/>
    <w:rsid w:val="003C1B30"/>
    <w:rsid w:val="003C2F8B"/>
    <w:rsid w:val="003D040F"/>
    <w:rsid w:val="003D652D"/>
    <w:rsid w:val="003E0C5A"/>
    <w:rsid w:val="003E43C5"/>
    <w:rsid w:val="003E5DF4"/>
    <w:rsid w:val="003E6555"/>
    <w:rsid w:val="003F0BE8"/>
    <w:rsid w:val="003F32CF"/>
    <w:rsid w:val="003F4C43"/>
    <w:rsid w:val="00400DEF"/>
    <w:rsid w:val="00400FA0"/>
    <w:rsid w:val="00402527"/>
    <w:rsid w:val="00402B30"/>
    <w:rsid w:val="0041173D"/>
    <w:rsid w:val="004179E0"/>
    <w:rsid w:val="004243C4"/>
    <w:rsid w:val="00430719"/>
    <w:rsid w:val="00431E34"/>
    <w:rsid w:val="00432C92"/>
    <w:rsid w:val="004365A3"/>
    <w:rsid w:val="0043672C"/>
    <w:rsid w:val="00436EC6"/>
    <w:rsid w:val="004379F3"/>
    <w:rsid w:val="00442389"/>
    <w:rsid w:val="00446E68"/>
    <w:rsid w:val="00450DBF"/>
    <w:rsid w:val="00452AA8"/>
    <w:rsid w:val="00454FEA"/>
    <w:rsid w:val="00455E20"/>
    <w:rsid w:val="00455E7D"/>
    <w:rsid w:val="004570FB"/>
    <w:rsid w:val="004676F4"/>
    <w:rsid w:val="00472199"/>
    <w:rsid w:val="00473F5F"/>
    <w:rsid w:val="00474AA0"/>
    <w:rsid w:val="00476EE0"/>
    <w:rsid w:val="0048111B"/>
    <w:rsid w:val="0048536E"/>
    <w:rsid w:val="00485422"/>
    <w:rsid w:val="00491767"/>
    <w:rsid w:val="00491A8D"/>
    <w:rsid w:val="00492827"/>
    <w:rsid w:val="00495229"/>
    <w:rsid w:val="0049554E"/>
    <w:rsid w:val="004A1387"/>
    <w:rsid w:val="004A2782"/>
    <w:rsid w:val="004A4831"/>
    <w:rsid w:val="004A4C46"/>
    <w:rsid w:val="004A76B4"/>
    <w:rsid w:val="004B165D"/>
    <w:rsid w:val="004B2DE4"/>
    <w:rsid w:val="004B5CB8"/>
    <w:rsid w:val="004B60E1"/>
    <w:rsid w:val="004C2039"/>
    <w:rsid w:val="004C36E3"/>
    <w:rsid w:val="004C57D9"/>
    <w:rsid w:val="004C6EEB"/>
    <w:rsid w:val="004D102B"/>
    <w:rsid w:val="004D1853"/>
    <w:rsid w:val="004D32EB"/>
    <w:rsid w:val="004D3BCE"/>
    <w:rsid w:val="004E0B31"/>
    <w:rsid w:val="004E2399"/>
    <w:rsid w:val="004E57DD"/>
    <w:rsid w:val="004E70F4"/>
    <w:rsid w:val="004F0232"/>
    <w:rsid w:val="004F1101"/>
    <w:rsid w:val="004F1B95"/>
    <w:rsid w:val="004F1BF3"/>
    <w:rsid w:val="004F4C5B"/>
    <w:rsid w:val="004F7ECC"/>
    <w:rsid w:val="00503294"/>
    <w:rsid w:val="005044DB"/>
    <w:rsid w:val="005048F7"/>
    <w:rsid w:val="00505A31"/>
    <w:rsid w:val="005127B5"/>
    <w:rsid w:val="00516425"/>
    <w:rsid w:val="00517C29"/>
    <w:rsid w:val="00521A5A"/>
    <w:rsid w:val="00522D16"/>
    <w:rsid w:val="005271CF"/>
    <w:rsid w:val="00530B95"/>
    <w:rsid w:val="00531AE6"/>
    <w:rsid w:val="00536803"/>
    <w:rsid w:val="00540290"/>
    <w:rsid w:val="0054268A"/>
    <w:rsid w:val="00545EE0"/>
    <w:rsid w:val="005520BA"/>
    <w:rsid w:val="00552D4C"/>
    <w:rsid w:val="00553802"/>
    <w:rsid w:val="00553AE7"/>
    <w:rsid w:val="005541F9"/>
    <w:rsid w:val="00560D0A"/>
    <w:rsid w:val="00564BB9"/>
    <w:rsid w:val="005668A0"/>
    <w:rsid w:val="005710F6"/>
    <w:rsid w:val="0057184D"/>
    <w:rsid w:val="005728E4"/>
    <w:rsid w:val="00573519"/>
    <w:rsid w:val="0057448D"/>
    <w:rsid w:val="00574704"/>
    <w:rsid w:val="0057603F"/>
    <w:rsid w:val="00593454"/>
    <w:rsid w:val="00593BB2"/>
    <w:rsid w:val="005940EE"/>
    <w:rsid w:val="00594FCD"/>
    <w:rsid w:val="005A1E1A"/>
    <w:rsid w:val="005A3A46"/>
    <w:rsid w:val="005A487E"/>
    <w:rsid w:val="005B22EE"/>
    <w:rsid w:val="005C31BD"/>
    <w:rsid w:val="005C5599"/>
    <w:rsid w:val="005C7342"/>
    <w:rsid w:val="005D369C"/>
    <w:rsid w:val="005E1EEB"/>
    <w:rsid w:val="005E2F25"/>
    <w:rsid w:val="005F0694"/>
    <w:rsid w:val="005F6EDC"/>
    <w:rsid w:val="005F76FF"/>
    <w:rsid w:val="005F7C33"/>
    <w:rsid w:val="00600057"/>
    <w:rsid w:val="0060098E"/>
    <w:rsid w:val="00601B99"/>
    <w:rsid w:val="006024D0"/>
    <w:rsid w:val="00607560"/>
    <w:rsid w:val="00613FC8"/>
    <w:rsid w:val="0061764B"/>
    <w:rsid w:val="00621CA1"/>
    <w:rsid w:val="00623DDD"/>
    <w:rsid w:val="006245B6"/>
    <w:rsid w:val="00626D25"/>
    <w:rsid w:val="0062733A"/>
    <w:rsid w:val="00630A80"/>
    <w:rsid w:val="00632C81"/>
    <w:rsid w:val="006346D9"/>
    <w:rsid w:val="00635662"/>
    <w:rsid w:val="00636657"/>
    <w:rsid w:val="00636E25"/>
    <w:rsid w:val="00642698"/>
    <w:rsid w:val="00647306"/>
    <w:rsid w:val="0065221A"/>
    <w:rsid w:val="00653C37"/>
    <w:rsid w:val="006557A8"/>
    <w:rsid w:val="00655F75"/>
    <w:rsid w:val="006605B2"/>
    <w:rsid w:val="00664291"/>
    <w:rsid w:val="0066631A"/>
    <w:rsid w:val="00671D89"/>
    <w:rsid w:val="00672052"/>
    <w:rsid w:val="00675DFE"/>
    <w:rsid w:val="00680BCA"/>
    <w:rsid w:val="006832BE"/>
    <w:rsid w:val="006920D2"/>
    <w:rsid w:val="00692A09"/>
    <w:rsid w:val="0069778A"/>
    <w:rsid w:val="00697EAF"/>
    <w:rsid w:val="006A1AAE"/>
    <w:rsid w:val="006A321D"/>
    <w:rsid w:val="006A4B57"/>
    <w:rsid w:val="006A6838"/>
    <w:rsid w:val="006A6FC2"/>
    <w:rsid w:val="006B0FD6"/>
    <w:rsid w:val="006B1AD7"/>
    <w:rsid w:val="006B701F"/>
    <w:rsid w:val="006C1415"/>
    <w:rsid w:val="006C4A15"/>
    <w:rsid w:val="006C5880"/>
    <w:rsid w:val="006C6F96"/>
    <w:rsid w:val="006D080E"/>
    <w:rsid w:val="006D1AA3"/>
    <w:rsid w:val="006D1DE3"/>
    <w:rsid w:val="006D406C"/>
    <w:rsid w:val="006E517E"/>
    <w:rsid w:val="006E55AE"/>
    <w:rsid w:val="006E5774"/>
    <w:rsid w:val="006E733C"/>
    <w:rsid w:val="006E758D"/>
    <w:rsid w:val="006F176E"/>
    <w:rsid w:val="006F50E1"/>
    <w:rsid w:val="006F569C"/>
    <w:rsid w:val="006F6130"/>
    <w:rsid w:val="00703117"/>
    <w:rsid w:val="00704472"/>
    <w:rsid w:val="0071006A"/>
    <w:rsid w:val="00711534"/>
    <w:rsid w:val="00714A5A"/>
    <w:rsid w:val="0071746D"/>
    <w:rsid w:val="007255A7"/>
    <w:rsid w:val="00726D09"/>
    <w:rsid w:val="00730522"/>
    <w:rsid w:val="00732A18"/>
    <w:rsid w:val="00733490"/>
    <w:rsid w:val="0073528D"/>
    <w:rsid w:val="00736D0C"/>
    <w:rsid w:val="00741142"/>
    <w:rsid w:val="007412F7"/>
    <w:rsid w:val="00743AF5"/>
    <w:rsid w:val="00745DE3"/>
    <w:rsid w:val="007502C4"/>
    <w:rsid w:val="00750446"/>
    <w:rsid w:val="00754CE0"/>
    <w:rsid w:val="00755E98"/>
    <w:rsid w:val="0076396B"/>
    <w:rsid w:val="00763F3A"/>
    <w:rsid w:val="00764061"/>
    <w:rsid w:val="00772852"/>
    <w:rsid w:val="007739BB"/>
    <w:rsid w:val="00774BAE"/>
    <w:rsid w:val="0077660E"/>
    <w:rsid w:val="00780800"/>
    <w:rsid w:val="007843E4"/>
    <w:rsid w:val="0078681E"/>
    <w:rsid w:val="0079637D"/>
    <w:rsid w:val="007A1FB1"/>
    <w:rsid w:val="007A2C91"/>
    <w:rsid w:val="007A33BA"/>
    <w:rsid w:val="007A536E"/>
    <w:rsid w:val="007A580D"/>
    <w:rsid w:val="007A6D53"/>
    <w:rsid w:val="007B2218"/>
    <w:rsid w:val="007B6D15"/>
    <w:rsid w:val="007C4336"/>
    <w:rsid w:val="007C7424"/>
    <w:rsid w:val="007D48A2"/>
    <w:rsid w:val="007D500A"/>
    <w:rsid w:val="007E015C"/>
    <w:rsid w:val="007E2C91"/>
    <w:rsid w:val="007E5967"/>
    <w:rsid w:val="007E75F3"/>
    <w:rsid w:val="007F1598"/>
    <w:rsid w:val="007F159C"/>
    <w:rsid w:val="007F430C"/>
    <w:rsid w:val="007F56B5"/>
    <w:rsid w:val="007F65E8"/>
    <w:rsid w:val="0080632F"/>
    <w:rsid w:val="008071CF"/>
    <w:rsid w:val="008076EB"/>
    <w:rsid w:val="008104D9"/>
    <w:rsid w:val="00810506"/>
    <w:rsid w:val="008114AF"/>
    <w:rsid w:val="00815DCA"/>
    <w:rsid w:val="0082495C"/>
    <w:rsid w:val="008273C5"/>
    <w:rsid w:val="0082792E"/>
    <w:rsid w:val="00842625"/>
    <w:rsid w:val="008436FF"/>
    <w:rsid w:val="00844490"/>
    <w:rsid w:val="00850FB1"/>
    <w:rsid w:val="008534E1"/>
    <w:rsid w:val="00860744"/>
    <w:rsid w:val="00862040"/>
    <w:rsid w:val="008652F2"/>
    <w:rsid w:val="008658A7"/>
    <w:rsid w:val="008701D7"/>
    <w:rsid w:val="00872432"/>
    <w:rsid w:val="00872EE9"/>
    <w:rsid w:val="0087482F"/>
    <w:rsid w:val="00875ADE"/>
    <w:rsid w:val="008821C4"/>
    <w:rsid w:val="00882E02"/>
    <w:rsid w:val="008833A9"/>
    <w:rsid w:val="00885910"/>
    <w:rsid w:val="00890C7A"/>
    <w:rsid w:val="008931E6"/>
    <w:rsid w:val="00893655"/>
    <w:rsid w:val="008963DB"/>
    <w:rsid w:val="00896F04"/>
    <w:rsid w:val="008A1E99"/>
    <w:rsid w:val="008A4816"/>
    <w:rsid w:val="008A54FB"/>
    <w:rsid w:val="008A7F33"/>
    <w:rsid w:val="008B21C9"/>
    <w:rsid w:val="008B5496"/>
    <w:rsid w:val="008B7E11"/>
    <w:rsid w:val="008C0147"/>
    <w:rsid w:val="008C0BE4"/>
    <w:rsid w:val="008D2FC4"/>
    <w:rsid w:val="008D3260"/>
    <w:rsid w:val="008D35A0"/>
    <w:rsid w:val="008D721B"/>
    <w:rsid w:val="008E0825"/>
    <w:rsid w:val="008E095E"/>
    <w:rsid w:val="009029EA"/>
    <w:rsid w:val="00906B27"/>
    <w:rsid w:val="009076B2"/>
    <w:rsid w:val="00912D85"/>
    <w:rsid w:val="0091300C"/>
    <w:rsid w:val="009146FE"/>
    <w:rsid w:val="00921BEA"/>
    <w:rsid w:val="00933848"/>
    <w:rsid w:val="00934624"/>
    <w:rsid w:val="0093579C"/>
    <w:rsid w:val="0094234E"/>
    <w:rsid w:val="0094509F"/>
    <w:rsid w:val="00945DA3"/>
    <w:rsid w:val="009461A3"/>
    <w:rsid w:val="00946399"/>
    <w:rsid w:val="00950809"/>
    <w:rsid w:val="009530CF"/>
    <w:rsid w:val="009571BA"/>
    <w:rsid w:val="0095760C"/>
    <w:rsid w:val="00960871"/>
    <w:rsid w:val="009620F3"/>
    <w:rsid w:val="00962C23"/>
    <w:rsid w:val="00963C2D"/>
    <w:rsid w:val="00966890"/>
    <w:rsid w:val="009672A1"/>
    <w:rsid w:val="0097211D"/>
    <w:rsid w:val="00974D13"/>
    <w:rsid w:val="00981544"/>
    <w:rsid w:val="00991841"/>
    <w:rsid w:val="009935C7"/>
    <w:rsid w:val="009953BA"/>
    <w:rsid w:val="00996108"/>
    <w:rsid w:val="00996653"/>
    <w:rsid w:val="009976A7"/>
    <w:rsid w:val="009A060A"/>
    <w:rsid w:val="009A20F0"/>
    <w:rsid w:val="009A6398"/>
    <w:rsid w:val="009B0AE1"/>
    <w:rsid w:val="009B4E06"/>
    <w:rsid w:val="009B52B6"/>
    <w:rsid w:val="009B5706"/>
    <w:rsid w:val="009B7E62"/>
    <w:rsid w:val="009C0BD2"/>
    <w:rsid w:val="009C3428"/>
    <w:rsid w:val="009C3EB2"/>
    <w:rsid w:val="009C6014"/>
    <w:rsid w:val="009D3150"/>
    <w:rsid w:val="009D4D9B"/>
    <w:rsid w:val="009E4418"/>
    <w:rsid w:val="009F2468"/>
    <w:rsid w:val="009F2FF4"/>
    <w:rsid w:val="009F4928"/>
    <w:rsid w:val="00A050DC"/>
    <w:rsid w:val="00A0754F"/>
    <w:rsid w:val="00A10A36"/>
    <w:rsid w:val="00A14703"/>
    <w:rsid w:val="00A15CBB"/>
    <w:rsid w:val="00A15D36"/>
    <w:rsid w:val="00A20F8E"/>
    <w:rsid w:val="00A235EC"/>
    <w:rsid w:val="00A30924"/>
    <w:rsid w:val="00A318CB"/>
    <w:rsid w:val="00A31D75"/>
    <w:rsid w:val="00A32B00"/>
    <w:rsid w:val="00A35D78"/>
    <w:rsid w:val="00A532F3"/>
    <w:rsid w:val="00A54429"/>
    <w:rsid w:val="00A63F08"/>
    <w:rsid w:val="00A729AE"/>
    <w:rsid w:val="00A734E6"/>
    <w:rsid w:val="00A74466"/>
    <w:rsid w:val="00A751E3"/>
    <w:rsid w:val="00A7555F"/>
    <w:rsid w:val="00A76BD6"/>
    <w:rsid w:val="00A82050"/>
    <w:rsid w:val="00A838E8"/>
    <w:rsid w:val="00A86A17"/>
    <w:rsid w:val="00A94780"/>
    <w:rsid w:val="00A9758E"/>
    <w:rsid w:val="00A977F2"/>
    <w:rsid w:val="00AA267E"/>
    <w:rsid w:val="00AA4510"/>
    <w:rsid w:val="00AA6C59"/>
    <w:rsid w:val="00AA7D0D"/>
    <w:rsid w:val="00AB0CE6"/>
    <w:rsid w:val="00AB1028"/>
    <w:rsid w:val="00AB6182"/>
    <w:rsid w:val="00AB6A2F"/>
    <w:rsid w:val="00AC0940"/>
    <w:rsid w:val="00AC166F"/>
    <w:rsid w:val="00AC478A"/>
    <w:rsid w:val="00AD04FF"/>
    <w:rsid w:val="00AD32B3"/>
    <w:rsid w:val="00AD6A1A"/>
    <w:rsid w:val="00AE70EE"/>
    <w:rsid w:val="00AF0A21"/>
    <w:rsid w:val="00AF0E8F"/>
    <w:rsid w:val="00AF1A87"/>
    <w:rsid w:val="00AF2055"/>
    <w:rsid w:val="00AF5C07"/>
    <w:rsid w:val="00B00EF9"/>
    <w:rsid w:val="00B01898"/>
    <w:rsid w:val="00B02074"/>
    <w:rsid w:val="00B044C4"/>
    <w:rsid w:val="00B04ADD"/>
    <w:rsid w:val="00B05207"/>
    <w:rsid w:val="00B05262"/>
    <w:rsid w:val="00B123EE"/>
    <w:rsid w:val="00B141D3"/>
    <w:rsid w:val="00B16BCA"/>
    <w:rsid w:val="00B20140"/>
    <w:rsid w:val="00B2097E"/>
    <w:rsid w:val="00B20AA7"/>
    <w:rsid w:val="00B2195B"/>
    <w:rsid w:val="00B23E41"/>
    <w:rsid w:val="00B310D6"/>
    <w:rsid w:val="00B34F45"/>
    <w:rsid w:val="00B36AAC"/>
    <w:rsid w:val="00B37232"/>
    <w:rsid w:val="00B417B7"/>
    <w:rsid w:val="00B432DE"/>
    <w:rsid w:val="00B442F0"/>
    <w:rsid w:val="00B44CCB"/>
    <w:rsid w:val="00B47001"/>
    <w:rsid w:val="00B4791D"/>
    <w:rsid w:val="00B50BF9"/>
    <w:rsid w:val="00B61AFB"/>
    <w:rsid w:val="00B6607E"/>
    <w:rsid w:val="00B671C4"/>
    <w:rsid w:val="00B71C00"/>
    <w:rsid w:val="00B728DA"/>
    <w:rsid w:val="00B72A3B"/>
    <w:rsid w:val="00B74C9C"/>
    <w:rsid w:val="00B751AE"/>
    <w:rsid w:val="00B7551D"/>
    <w:rsid w:val="00B82CCC"/>
    <w:rsid w:val="00B843C0"/>
    <w:rsid w:val="00B851AB"/>
    <w:rsid w:val="00B901B3"/>
    <w:rsid w:val="00BA2995"/>
    <w:rsid w:val="00BB0A9C"/>
    <w:rsid w:val="00BB5C1C"/>
    <w:rsid w:val="00BB7CEB"/>
    <w:rsid w:val="00BC2E88"/>
    <w:rsid w:val="00BC3330"/>
    <w:rsid w:val="00BD12A6"/>
    <w:rsid w:val="00BD74BA"/>
    <w:rsid w:val="00BD7FB3"/>
    <w:rsid w:val="00BE0696"/>
    <w:rsid w:val="00BF0EAA"/>
    <w:rsid w:val="00BF4718"/>
    <w:rsid w:val="00C0098E"/>
    <w:rsid w:val="00C01049"/>
    <w:rsid w:val="00C02B4C"/>
    <w:rsid w:val="00C0321F"/>
    <w:rsid w:val="00C043DD"/>
    <w:rsid w:val="00C067A8"/>
    <w:rsid w:val="00C06FE4"/>
    <w:rsid w:val="00C11488"/>
    <w:rsid w:val="00C12799"/>
    <w:rsid w:val="00C21C70"/>
    <w:rsid w:val="00C2639A"/>
    <w:rsid w:val="00C26D33"/>
    <w:rsid w:val="00C3074F"/>
    <w:rsid w:val="00C30933"/>
    <w:rsid w:val="00C3461D"/>
    <w:rsid w:val="00C352B8"/>
    <w:rsid w:val="00C43209"/>
    <w:rsid w:val="00C454AA"/>
    <w:rsid w:val="00C45820"/>
    <w:rsid w:val="00C47DA8"/>
    <w:rsid w:val="00C5038D"/>
    <w:rsid w:val="00C51AE4"/>
    <w:rsid w:val="00C51EF7"/>
    <w:rsid w:val="00C632DC"/>
    <w:rsid w:val="00C6589E"/>
    <w:rsid w:val="00C67328"/>
    <w:rsid w:val="00C722C9"/>
    <w:rsid w:val="00C76B6B"/>
    <w:rsid w:val="00C80BD1"/>
    <w:rsid w:val="00C81864"/>
    <w:rsid w:val="00C862F6"/>
    <w:rsid w:val="00C936A2"/>
    <w:rsid w:val="00C95A42"/>
    <w:rsid w:val="00C96446"/>
    <w:rsid w:val="00C96846"/>
    <w:rsid w:val="00CA149C"/>
    <w:rsid w:val="00CA526F"/>
    <w:rsid w:val="00CB10FA"/>
    <w:rsid w:val="00CB15EF"/>
    <w:rsid w:val="00CB5492"/>
    <w:rsid w:val="00CB5D02"/>
    <w:rsid w:val="00CB65ED"/>
    <w:rsid w:val="00CC0C59"/>
    <w:rsid w:val="00CC0DE7"/>
    <w:rsid w:val="00CC20CA"/>
    <w:rsid w:val="00CC2411"/>
    <w:rsid w:val="00CD3A04"/>
    <w:rsid w:val="00CD3FB7"/>
    <w:rsid w:val="00CD6143"/>
    <w:rsid w:val="00CE062B"/>
    <w:rsid w:val="00CE4669"/>
    <w:rsid w:val="00CF01B5"/>
    <w:rsid w:val="00CF0CDB"/>
    <w:rsid w:val="00CF1CC6"/>
    <w:rsid w:val="00CF1FA9"/>
    <w:rsid w:val="00CF2A57"/>
    <w:rsid w:val="00CF4557"/>
    <w:rsid w:val="00CF656B"/>
    <w:rsid w:val="00CF7257"/>
    <w:rsid w:val="00D00423"/>
    <w:rsid w:val="00D039D3"/>
    <w:rsid w:val="00D12747"/>
    <w:rsid w:val="00D12BC2"/>
    <w:rsid w:val="00D12D4C"/>
    <w:rsid w:val="00D13B8E"/>
    <w:rsid w:val="00D21220"/>
    <w:rsid w:val="00D240E1"/>
    <w:rsid w:val="00D26A82"/>
    <w:rsid w:val="00D272A6"/>
    <w:rsid w:val="00D3043D"/>
    <w:rsid w:val="00D309A8"/>
    <w:rsid w:val="00D32798"/>
    <w:rsid w:val="00D3352A"/>
    <w:rsid w:val="00D3785D"/>
    <w:rsid w:val="00D37B03"/>
    <w:rsid w:val="00D46E36"/>
    <w:rsid w:val="00D50953"/>
    <w:rsid w:val="00D51B86"/>
    <w:rsid w:val="00D52754"/>
    <w:rsid w:val="00D539EE"/>
    <w:rsid w:val="00D547FB"/>
    <w:rsid w:val="00D56374"/>
    <w:rsid w:val="00D62E69"/>
    <w:rsid w:val="00D66526"/>
    <w:rsid w:val="00D674BF"/>
    <w:rsid w:val="00D67771"/>
    <w:rsid w:val="00D71BCD"/>
    <w:rsid w:val="00D80AA9"/>
    <w:rsid w:val="00D86245"/>
    <w:rsid w:val="00D87BE7"/>
    <w:rsid w:val="00D90A95"/>
    <w:rsid w:val="00D90E79"/>
    <w:rsid w:val="00D914BA"/>
    <w:rsid w:val="00D91F2B"/>
    <w:rsid w:val="00D9651D"/>
    <w:rsid w:val="00D96C9E"/>
    <w:rsid w:val="00D96CEF"/>
    <w:rsid w:val="00DA0BF8"/>
    <w:rsid w:val="00DA1CBC"/>
    <w:rsid w:val="00DC13BA"/>
    <w:rsid w:val="00DC2EE1"/>
    <w:rsid w:val="00DC5D6F"/>
    <w:rsid w:val="00DC71B1"/>
    <w:rsid w:val="00DC7DAE"/>
    <w:rsid w:val="00DD4629"/>
    <w:rsid w:val="00DD6048"/>
    <w:rsid w:val="00DE1554"/>
    <w:rsid w:val="00DE31BC"/>
    <w:rsid w:val="00DE3997"/>
    <w:rsid w:val="00DE5520"/>
    <w:rsid w:val="00DE59A0"/>
    <w:rsid w:val="00DE6AE0"/>
    <w:rsid w:val="00DE77BD"/>
    <w:rsid w:val="00DF3D70"/>
    <w:rsid w:val="00DF3EA1"/>
    <w:rsid w:val="00DF5DDF"/>
    <w:rsid w:val="00DF64E2"/>
    <w:rsid w:val="00E00A03"/>
    <w:rsid w:val="00E0311D"/>
    <w:rsid w:val="00E05DC1"/>
    <w:rsid w:val="00E10459"/>
    <w:rsid w:val="00E1239D"/>
    <w:rsid w:val="00E130A9"/>
    <w:rsid w:val="00E163AC"/>
    <w:rsid w:val="00E17CA4"/>
    <w:rsid w:val="00E214D6"/>
    <w:rsid w:val="00E22F1D"/>
    <w:rsid w:val="00E231F8"/>
    <w:rsid w:val="00E23734"/>
    <w:rsid w:val="00E237A7"/>
    <w:rsid w:val="00E24CF0"/>
    <w:rsid w:val="00E24FAD"/>
    <w:rsid w:val="00E30F06"/>
    <w:rsid w:val="00E338C1"/>
    <w:rsid w:val="00E3393C"/>
    <w:rsid w:val="00E43C8E"/>
    <w:rsid w:val="00E479C4"/>
    <w:rsid w:val="00E47CAD"/>
    <w:rsid w:val="00E50579"/>
    <w:rsid w:val="00E55300"/>
    <w:rsid w:val="00E55753"/>
    <w:rsid w:val="00E61754"/>
    <w:rsid w:val="00E63238"/>
    <w:rsid w:val="00E63C6D"/>
    <w:rsid w:val="00E640BA"/>
    <w:rsid w:val="00E64E07"/>
    <w:rsid w:val="00E67598"/>
    <w:rsid w:val="00E72182"/>
    <w:rsid w:val="00E747E8"/>
    <w:rsid w:val="00E748B2"/>
    <w:rsid w:val="00E81A80"/>
    <w:rsid w:val="00E81D90"/>
    <w:rsid w:val="00E8321E"/>
    <w:rsid w:val="00E84EB6"/>
    <w:rsid w:val="00E856EF"/>
    <w:rsid w:val="00E92DB2"/>
    <w:rsid w:val="00E9372D"/>
    <w:rsid w:val="00E97519"/>
    <w:rsid w:val="00EA07E0"/>
    <w:rsid w:val="00EA6A04"/>
    <w:rsid w:val="00EA7928"/>
    <w:rsid w:val="00EB056C"/>
    <w:rsid w:val="00EB23ED"/>
    <w:rsid w:val="00EB3AD7"/>
    <w:rsid w:val="00EB48BB"/>
    <w:rsid w:val="00EB63D5"/>
    <w:rsid w:val="00EB6750"/>
    <w:rsid w:val="00EB7B89"/>
    <w:rsid w:val="00EC063D"/>
    <w:rsid w:val="00EC1592"/>
    <w:rsid w:val="00EC5962"/>
    <w:rsid w:val="00EC68A4"/>
    <w:rsid w:val="00ED0BF7"/>
    <w:rsid w:val="00ED469E"/>
    <w:rsid w:val="00ED7C02"/>
    <w:rsid w:val="00ED7D3C"/>
    <w:rsid w:val="00EE246B"/>
    <w:rsid w:val="00EE6DFD"/>
    <w:rsid w:val="00EE7077"/>
    <w:rsid w:val="00EF1721"/>
    <w:rsid w:val="00EF20DB"/>
    <w:rsid w:val="00EF646C"/>
    <w:rsid w:val="00EF74F6"/>
    <w:rsid w:val="00F0386E"/>
    <w:rsid w:val="00F04BFD"/>
    <w:rsid w:val="00F04FF8"/>
    <w:rsid w:val="00F1657D"/>
    <w:rsid w:val="00F22F33"/>
    <w:rsid w:val="00F2448E"/>
    <w:rsid w:val="00F267C0"/>
    <w:rsid w:val="00F27144"/>
    <w:rsid w:val="00F359A0"/>
    <w:rsid w:val="00F37385"/>
    <w:rsid w:val="00F40D11"/>
    <w:rsid w:val="00F416C6"/>
    <w:rsid w:val="00F4272B"/>
    <w:rsid w:val="00F473DA"/>
    <w:rsid w:val="00F5498E"/>
    <w:rsid w:val="00F61F07"/>
    <w:rsid w:val="00F62F7A"/>
    <w:rsid w:val="00F631C1"/>
    <w:rsid w:val="00F67917"/>
    <w:rsid w:val="00F7399C"/>
    <w:rsid w:val="00F739DC"/>
    <w:rsid w:val="00F76F5B"/>
    <w:rsid w:val="00F84A9A"/>
    <w:rsid w:val="00F8537F"/>
    <w:rsid w:val="00F87B08"/>
    <w:rsid w:val="00F9044E"/>
    <w:rsid w:val="00F90F7D"/>
    <w:rsid w:val="00F92D08"/>
    <w:rsid w:val="00F9333E"/>
    <w:rsid w:val="00F94E86"/>
    <w:rsid w:val="00F94EB4"/>
    <w:rsid w:val="00F952D0"/>
    <w:rsid w:val="00FA3918"/>
    <w:rsid w:val="00FB0962"/>
    <w:rsid w:val="00FB2C12"/>
    <w:rsid w:val="00FB591E"/>
    <w:rsid w:val="00FB6E7E"/>
    <w:rsid w:val="00FB71C2"/>
    <w:rsid w:val="00FC0604"/>
    <w:rsid w:val="00FC1788"/>
    <w:rsid w:val="00FC1BB3"/>
    <w:rsid w:val="00FC1DF4"/>
    <w:rsid w:val="00FC3772"/>
    <w:rsid w:val="00FD10D9"/>
    <w:rsid w:val="00FD5014"/>
    <w:rsid w:val="00FD7841"/>
    <w:rsid w:val="00FE1453"/>
    <w:rsid w:val="00FE2C8E"/>
    <w:rsid w:val="00FE322B"/>
    <w:rsid w:val="00FE628E"/>
    <w:rsid w:val="00FF01FF"/>
    <w:rsid w:val="00FF0849"/>
    <w:rsid w:val="00FF1534"/>
    <w:rsid w:val="00FF195C"/>
    <w:rsid w:val="00FF3BEF"/>
    <w:rsid w:val="00FF50E3"/>
    <w:rsid w:val="00FF5A16"/>
    <w:rsid w:val="00FF6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6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6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321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8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3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87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56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6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0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6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14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6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83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63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4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7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6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94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5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21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2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0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01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48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74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3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78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2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11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50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1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97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14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2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53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8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805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21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3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8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4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7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18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699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3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11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5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3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30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1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16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1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78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9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6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1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579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9821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350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485">
          <w:marLeft w:val="180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2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5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972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32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1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48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35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02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8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10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32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18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47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74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5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19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75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34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0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63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06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015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5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81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582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1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5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38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7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7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65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92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1</cp:revision>
  <dcterms:created xsi:type="dcterms:W3CDTF">2013-06-28T20:42:00Z</dcterms:created>
  <dcterms:modified xsi:type="dcterms:W3CDTF">2013-06-28T20:48:00Z</dcterms:modified>
</cp:coreProperties>
</file>