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D73" w:rsidRDefault="0098174B" w:rsidP="00AD5678">
      <w:pPr>
        <w:jc w:val="center"/>
        <w:rPr>
          <w:rFonts w:ascii="Times New Roman" w:hAnsi="Times New Roman" w:cs="Times New Roman"/>
          <w:b/>
          <w:sz w:val="24"/>
          <w:szCs w:val="24"/>
        </w:rPr>
      </w:pPr>
      <w:r w:rsidRPr="00AD5678">
        <w:rPr>
          <w:rFonts w:ascii="Times New Roman" w:hAnsi="Times New Roman" w:cs="Times New Roman"/>
          <w:b/>
          <w:sz w:val="24"/>
          <w:szCs w:val="24"/>
        </w:rPr>
        <w:t>Country Risk Analysis</w:t>
      </w:r>
    </w:p>
    <w:p w:rsidR="00AD5678" w:rsidRPr="00AD5678" w:rsidRDefault="00AD5678" w:rsidP="00AD5678">
      <w:pPr>
        <w:jc w:val="center"/>
        <w:rPr>
          <w:rFonts w:ascii="Times New Roman" w:hAnsi="Times New Roman" w:cs="Times New Roman"/>
          <w:b/>
          <w:sz w:val="24"/>
          <w:szCs w:val="24"/>
        </w:rPr>
      </w:pPr>
      <w:r>
        <w:rPr>
          <w:rFonts w:ascii="Times New Roman" w:hAnsi="Times New Roman" w:cs="Times New Roman"/>
          <w:b/>
          <w:sz w:val="24"/>
          <w:szCs w:val="24"/>
        </w:rPr>
        <w:t>Lecture 13</w:t>
      </w:r>
    </w:p>
    <w:p w:rsidR="00571D73" w:rsidRPr="00AD5678" w:rsidRDefault="0098174B" w:rsidP="00AD5678">
      <w:pPr>
        <w:jc w:val="both"/>
        <w:rPr>
          <w:rFonts w:ascii="Times New Roman" w:hAnsi="Times New Roman" w:cs="Times New Roman"/>
          <w:sz w:val="24"/>
          <w:szCs w:val="24"/>
        </w:rPr>
      </w:pPr>
      <w:r w:rsidRPr="00AD5678">
        <w:rPr>
          <w:rFonts w:ascii="Times New Roman" w:hAnsi="Times New Roman" w:cs="Times New Roman"/>
          <w:sz w:val="24"/>
          <w:szCs w:val="24"/>
        </w:rPr>
        <w:t>Country risk represents the potentially adverse impact of a country’s environment on the MNC’s cash flows.</w:t>
      </w:r>
    </w:p>
    <w:p w:rsidR="00571D73" w:rsidRPr="00AD5678" w:rsidRDefault="0098174B" w:rsidP="00AD5678">
      <w:pPr>
        <w:numPr>
          <w:ilvl w:val="0"/>
          <w:numId w:val="1"/>
        </w:numPr>
        <w:jc w:val="both"/>
        <w:rPr>
          <w:rFonts w:ascii="Times New Roman" w:hAnsi="Times New Roman" w:cs="Times New Roman"/>
          <w:b/>
          <w:sz w:val="24"/>
          <w:szCs w:val="24"/>
        </w:rPr>
      </w:pPr>
      <w:r w:rsidRPr="00AD5678">
        <w:rPr>
          <w:rFonts w:ascii="Times New Roman" w:hAnsi="Times New Roman" w:cs="Times New Roman"/>
          <w:b/>
          <w:sz w:val="24"/>
          <w:szCs w:val="24"/>
        </w:rPr>
        <w:t>Country risk can be used:</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to monitor countries where the MNC is presently doing business;</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as a screening device to avoid conducting business in countries with excessive risk; and</w:t>
      </w:r>
    </w:p>
    <w:p w:rsidR="00571D73" w:rsidRPr="00AD5678" w:rsidRDefault="0098174B" w:rsidP="00AD5678">
      <w:pPr>
        <w:numPr>
          <w:ilvl w:val="1"/>
          <w:numId w:val="1"/>
        </w:numPr>
        <w:jc w:val="both"/>
        <w:rPr>
          <w:rFonts w:ascii="Times New Roman" w:hAnsi="Times New Roman" w:cs="Times New Roman"/>
          <w:sz w:val="24"/>
          <w:szCs w:val="24"/>
        </w:rPr>
      </w:pPr>
      <w:proofErr w:type="gramStart"/>
      <w:r w:rsidRPr="00AD5678">
        <w:rPr>
          <w:rFonts w:ascii="Times New Roman" w:hAnsi="Times New Roman" w:cs="Times New Roman"/>
          <w:sz w:val="24"/>
          <w:szCs w:val="24"/>
        </w:rPr>
        <w:t>to</w:t>
      </w:r>
      <w:proofErr w:type="gramEnd"/>
      <w:r w:rsidRPr="00AD5678">
        <w:rPr>
          <w:rFonts w:ascii="Times New Roman" w:hAnsi="Times New Roman" w:cs="Times New Roman"/>
          <w:sz w:val="24"/>
          <w:szCs w:val="24"/>
        </w:rPr>
        <w:t xml:space="preserve"> improve the analysis used in making long-term investment or financing decisions.</w:t>
      </w:r>
    </w:p>
    <w:p w:rsidR="00571D73" w:rsidRPr="00AD5678" w:rsidRDefault="0098174B" w:rsidP="00AD5678">
      <w:pPr>
        <w:numPr>
          <w:ilvl w:val="0"/>
          <w:numId w:val="1"/>
        </w:numPr>
        <w:jc w:val="both"/>
        <w:rPr>
          <w:rFonts w:ascii="Times New Roman" w:hAnsi="Times New Roman" w:cs="Times New Roman"/>
          <w:b/>
          <w:sz w:val="24"/>
          <w:szCs w:val="24"/>
        </w:rPr>
      </w:pPr>
      <w:r w:rsidRPr="00AD5678">
        <w:rPr>
          <w:rFonts w:ascii="Times New Roman" w:hAnsi="Times New Roman" w:cs="Times New Roman"/>
          <w:b/>
          <w:sz w:val="24"/>
          <w:szCs w:val="24"/>
        </w:rPr>
        <w:t>Political Risk Factors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Attitude of Consumers in the Host Country</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Some consumers may be very loyal to homemade products.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Attitude of Host Government</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The host government may impose special requirements or taxes, restrict fund transfers, subsidize local firms, or fail to enforce copyright laws.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Blockage of Fund Transfers</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Funds that are blocked may not be optimally used.</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Currency Inconvertibility</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The MNC parent may need to exchange earnings for goods.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War</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Internal and external battles, or even the threat of war, can have devastating effects.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Bureaucracy</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Bureaucracy can complicate businesses.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Corruption</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Corruption can increase the cost of conducting business or reduce revenue.</w:t>
      </w:r>
    </w:p>
    <w:p w:rsidR="00571D73" w:rsidRDefault="0098174B" w:rsidP="00AD5678">
      <w:pPr>
        <w:ind w:left="720"/>
        <w:jc w:val="center"/>
        <w:rPr>
          <w:rFonts w:ascii="Times New Roman" w:hAnsi="Times New Roman" w:cs="Times New Roman"/>
          <w:b/>
          <w:sz w:val="24"/>
          <w:szCs w:val="24"/>
        </w:rPr>
      </w:pPr>
      <w:r w:rsidRPr="00AD5678">
        <w:rPr>
          <w:rFonts w:ascii="Times New Roman" w:hAnsi="Times New Roman" w:cs="Times New Roman"/>
          <w:b/>
          <w:sz w:val="24"/>
          <w:szCs w:val="24"/>
        </w:rPr>
        <w:lastRenderedPageBreak/>
        <w:t>Corruption Perceptions Index</w:t>
      </w:r>
    </w:p>
    <w:p w:rsidR="00AD5678" w:rsidRPr="00AD5678" w:rsidRDefault="00AD5678" w:rsidP="00AD5678">
      <w:pPr>
        <w:ind w:left="720"/>
        <w:jc w:val="center"/>
        <w:rPr>
          <w:rFonts w:ascii="Times New Roman" w:hAnsi="Times New Roman" w:cs="Times New Roman"/>
          <w:b/>
          <w:sz w:val="24"/>
          <w:szCs w:val="24"/>
        </w:rPr>
      </w:pPr>
      <w:r>
        <w:rPr>
          <w:rFonts w:ascii="Times New Roman" w:hAnsi="Times New Roman" w:cs="Times New Roman"/>
          <w:b/>
          <w:sz w:val="24"/>
          <w:szCs w:val="24"/>
        </w:rPr>
        <w:t>Developed countries</w:t>
      </w:r>
    </w:p>
    <w:p w:rsidR="00AD5678" w:rsidRDefault="00AD5678" w:rsidP="00AD5678">
      <w:pPr>
        <w:ind w:left="720"/>
        <w:jc w:val="center"/>
        <w:rPr>
          <w:rFonts w:ascii="Times New Roman" w:hAnsi="Times New Roman" w:cs="Times New Roman"/>
          <w:sz w:val="24"/>
          <w:szCs w:val="24"/>
        </w:rPr>
      </w:pPr>
      <w:r w:rsidRPr="00AD5678">
        <w:rPr>
          <w:rFonts w:ascii="Times New Roman" w:hAnsi="Times New Roman" w:cs="Times New Roman"/>
          <w:noProof/>
          <w:sz w:val="24"/>
          <w:szCs w:val="24"/>
        </w:rPr>
        <w:drawing>
          <wp:inline distT="0" distB="0" distL="0" distR="0">
            <wp:extent cx="4498518" cy="1839686"/>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5139" name="Picture 2"/>
                    <pic:cNvPicPr>
                      <a:picLocks noChangeAspect="1" noChangeArrowheads="1"/>
                    </pic:cNvPicPr>
                  </pic:nvPicPr>
                  <pic:blipFill>
                    <a:blip r:embed="rId5" cstate="print"/>
                    <a:srcRect/>
                    <a:stretch>
                      <a:fillRect/>
                    </a:stretch>
                  </pic:blipFill>
                  <pic:spPr bwMode="auto">
                    <a:xfrm>
                      <a:off x="0" y="0"/>
                      <a:ext cx="4496628" cy="1838913"/>
                    </a:xfrm>
                    <a:prstGeom prst="rect">
                      <a:avLst/>
                    </a:prstGeom>
                    <a:noFill/>
                    <a:ln w="9525">
                      <a:noFill/>
                      <a:miter lim="800000"/>
                      <a:headEnd/>
                      <a:tailEnd/>
                    </a:ln>
                  </pic:spPr>
                </pic:pic>
              </a:graphicData>
            </a:graphic>
          </wp:inline>
        </w:drawing>
      </w:r>
    </w:p>
    <w:p w:rsidR="00AD5678" w:rsidRPr="00AD5678" w:rsidRDefault="00AD5678" w:rsidP="00AD5678">
      <w:pPr>
        <w:ind w:left="720"/>
        <w:jc w:val="center"/>
        <w:rPr>
          <w:rFonts w:ascii="Times New Roman" w:hAnsi="Times New Roman" w:cs="Times New Roman"/>
          <w:b/>
          <w:sz w:val="24"/>
          <w:szCs w:val="24"/>
        </w:rPr>
      </w:pPr>
      <w:r w:rsidRPr="00AD5678">
        <w:rPr>
          <w:rFonts w:ascii="Times New Roman" w:hAnsi="Times New Roman" w:cs="Times New Roman"/>
          <w:b/>
          <w:sz w:val="24"/>
          <w:szCs w:val="24"/>
        </w:rPr>
        <w:t>Developing countries</w:t>
      </w:r>
    </w:p>
    <w:p w:rsidR="00AD5678" w:rsidRDefault="00AD5678" w:rsidP="00AD5678">
      <w:pPr>
        <w:ind w:left="720"/>
        <w:jc w:val="center"/>
        <w:rPr>
          <w:rFonts w:ascii="Times New Roman" w:hAnsi="Times New Roman" w:cs="Times New Roman"/>
          <w:sz w:val="24"/>
          <w:szCs w:val="24"/>
        </w:rPr>
      </w:pPr>
      <w:r w:rsidRPr="00AD5678">
        <w:rPr>
          <w:rFonts w:ascii="Times New Roman" w:hAnsi="Times New Roman" w:cs="Times New Roman"/>
          <w:noProof/>
          <w:sz w:val="24"/>
          <w:szCs w:val="24"/>
        </w:rPr>
        <w:drawing>
          <wp:inline distT="0" distB="0" distL="0" distR="0">
            <wp:extent cx="4520293" cy="2242457"/>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6152" name="Picture 2"/>
                    <pic:cNvPicPr>
                      <a:picLocks noChangeAspect="1" noChangeArrowheads="1"/>
                    </pic:cNvPicPr>
                  </pic:nvPicPr>
                  <pic:blipFill>
                    <a:blip r:embed="rId6" cstate="print"/>
                    <a:srcRect/>
                    <a:stretch>
                      <a:fillRect/>
                    </a:stretch>
                  </pic:blipFill>
                  <pic:spPr bwMode="auto">
                    <a:xfrm>
                      <a:off x="0" y="0"/>
                      <a:ext cx="4518708" cy="2241671"/>
                    </a:xfrm>
                    <a:prstGeom prst="rect">
                      <a:avLst/>
                    </a:prstGeom>
                    <a:noFill/>
                    <a:ln w="9525">
                      <a:noFill/>
                      <a:miter lim="800000"/>
                      <a:headEnd/>
                      <a:tailEnd/>
                    </a:ln>
                  </pic:spPr>
                </pic:pic>
              </a:graphicData>
            </a:graphic>
          </wp:inline>
        </w:drawing>
      </w:r>
    </w:p>
    <w:p w:rsidR="00AD5678" w:rsidRDefault="00AD5678" w:rsidP="00AD5678">
      <w:pPr>
        <w:ind w:left="720"/>
        <w:jc w:val="both"/>
        <w:rPr>
          <w:rFonts w:ascii="Times New Roman" w:hAnsi="Times New Roman" w:cs="Times New Roman"/>
          <w:sz w:val="24"/>
          <w:szCs w:val="24"/>
        </w:rPr>
      </w:pP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The index, which is published by Transparency International, reflects the degree to which corruption is perceived to exist among public officials and politicians.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Financial Risk Factors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Current and Potential State of the Country’s Economy</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 xml:space="preserve">A recession can severely reduce demand. </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Financial distress can also cause the government to restrict MNC operations.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Indicators of Economic Growth</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A country’s economic growth is dependent on several financial factors - interest rates, exchange rates, inflation, etc.</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Types of Country Risk Assessment</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 xml:space="preserve">A </w:t>
      </w:r>
      <w:r w:rsidRPr="00AD5678">
        <w:rPr>
          <w:rFonts w:ascii="Times New Roman" w:hAnsi="Times New Roman" w:cs="Times New Roman"/>
          <w:i/>
          <w:iCs/>
          <w:sz w:val="24"/>
          <w:szCs w:val="24"/>
        </w:rPr>
        <w:t>macro-assessment</w:t>
      </w:r>
      <w:r w:rsidRPr="00AD5678">
        <w:rPr>
          <w:rFonts w:ascii="Times New Roman" w:hAnsi="Times New Roman" w:cs="Times New Roman"/>
          <w:sz w:val="24"/>
          <w:szCs w:val="24"/>
        </w:rPr>
        <w:t xml:space="preserve"> of country risk is an overall risk assessment of a country without consideration of the MNC’s business.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 xml:space="preserve">A </w:t>
      </w:r>
      <w:r w:rsidRPr="00AD5678">
        <w:rPr>
          <w:rFonts w:ascii="Times New Roman" w:hAnsi="Times New Roman" w:cs="Times New Roman"/>
          <w:i/>
          <w:iCs/>
          <w:sz w:val="24"/>
          <w:szCs w:val="24"/>
        </w:rPr>
        <w:t>micro-assessment</w:t>
      </w:r>
      <w:r w:rsidRPr="00AD5678">
        <w:rPr>
          <w:rFonts w:ascii="Times New Roman" w:hAnsi="Times New Roman" w:cs="Times New Roman"/>
          <w:sz w:val="24"/>
          <w:szCs w:val="24"/>
        </w:rPr>
        <w:t xml:space="preserve"> of country risk is the risk assessment of a country as related to the MNC’s type of business.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The overall assessment of country risk thus consists of :</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Macro-political risk</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Macro-financial risk</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Micro-political risk</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Micro-financial risk</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Note that the opinions of different risk assessors often differ due to subjectivities in:</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identifying the relevant political and financial factors,</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determining the relative importance of each factor, and</w:t>
      </w:r>
    </w:p>
    <w:p w:rsidR="00571D73" w:rsidRPr="00AD5678" w:rsidRDefault="0098174B" w:rsidP="00AD5678">
      <w:pPr>
        <w:numPr>
          <w:ilvl w:val="1"/>
          <w:numId w:val="1"/>
        </w:numPr>
        <w:jc w:val="both"/>
        <w:rPr>
          <w:rFonts w:ascii="Times New Roman" w:hAnsi="Times New Roman" w:cs="Times New Roman"/>
          <w:sz w:val="24"/>
          <w:szCs w:val="24"/>
        </w:rPr>
      </w:pPr>
      <w:proofErr w:type="gramStart"/>
      <w:r w:rsidRPr="00AD5678">
        <w:rPr>
          <w:rFonts w:ascii="Times New Roman" w:hAnsi="Times New Roman" w:cs="Times New Roman"/>
          <w:sz w:val="24"/>
          <w:szCs w:val="24"/>
        </w:rPr>
        <w:t>predicting</w:t>
      </w:r>
      <w:proofErr w:type="gramEnd"/>
      <w:r w:rsidRPr="00AD5678">
        <w:rPr>
          <w:rFonts w:ascii="Times New Roman" w:hAnsi="Times New Roman" w:cs="Times New Roman"/>
          <w:sz w:val="24"/>
          <w:szCs w:val="24"/>
        </w:rPr>
        <w:t xml:space="preserve"> the values of factors that cannot be measured objectively.</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Techniques</w:t>
      </w:r>
      <w:r w:rsidR="00AD5678">
        <w:rPr>
          <w:rFonts w:ascii="Times New Roman" w:hAnsi="Times New Roman" w:cs="Times New Roman"/>
          <w:sz w:val="24"/>
          <w:szCs w:val="24"/>
        </w:rPr>
        <w:t xml:space="preserve">  of </w:t>
      </w:r>
      <w:r w:rsidRPr="00AD5678">
        <w:rPr>
          <w:rFonts w:ascii="Times New Roman" w:hAnsi="Times New Roman" w:cs="Times New Roman"/>
          <w:sz w:val="24"/>
          <w:szCs w:val="24"/>
        </w:rPr>
        <w:t>Assessing Country Risk</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 xml:space="preserve">A </w:t>
      </w:r>
      <w:r w:rsidRPr="00AD5678">
        <w:rPr>
          <w:rFonts w:ascii="Times New Roman" w:hAnsi="Times New Roman" w:cs="Times New Roman"/>
          <w:i/>
          <w:iCs/>
          <w:sz w:val="24"/>
          <w:szCs w:val="24"/>
        </w:rPr>
        <w:t>checklist approach</w:t>
      </w:r>
      <w:r w:rsidRPr="00AD5678">
        <w:rPr>
          <w:rFonts w:ascii="Times New Roman" w:hAnsi="Times New Roman" w:cs="Times New Roman"/>
          <w:sz w:val="24"/>
          <w:szCs w:val="24"/>
        </w:rPr>
        <w:t xml:space="preserve"> involves rating and weighting all the identified factors, and then consolidating the rates and weights to produce an overall assessment.</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 xml:space="preserve">The </w:t>
      </w:r>
      <w:r w:rsidRPr="00AD5678">
        <w:rPr>
          <w:rFonts w:ascii="Times New Roman" w:hAnsi="Times New Roman" w:cs="Times New Roman"/>
          <w:i/>
          <w:iCs/>
          <w:sz w:val="24"/>
          <w:szCs w:val="24"/>
        </w:rPr>
        <w:t>Delphi technique</w:t>
      </w:r>
      <w:r w:rsidRPr="00AD5678">
        <w:rPr>
          <w:rFonts w:ascii="Times New Roman" w:hAnsi="Times New Roman" w:cs="Times New Roman"/>
          <w:sz w:val="24"/>
          <w:szCs w:val="24"/>
        </w:rPr>
        <w:t xml:space="preserve"> involves collecting various independent opinions and then averaging and measuring the dispersion of those opinions.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i/>
          <w:iCs/>
          <w:sz w:val="24"/>
          <w:szCs w:val="24"/>
        </w:rPr>
        <w:t>Quantitative analysis</w:t>
      </w:r>
      <w:r w:rsidRPr="00AD5678">
        <w:rPr>
          <w:rFonts w:ascii="Times New Roman" w:hAnsi="Times New Roman" w:cs="Times New Roman"/>
          <w:sz w:val="24"/>
          <w:szCs w:val="24"/>
        </w:rPr>
        <w:t xml:space="preserve"> techniques like regression analysis can be applied to historical data to assess the sensitivity of a business to various risk factors.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i/>
          <w:iCs/>
          <w:sz w:val="24"/>
          <w:szCs w:val="24"/>
        </w:rPr>
        <w:t>Inspection visits</w:t>
      </w:r>
      <w:r w:rsidRPr="00AD5678">
        <w:rPr>
          <w:rFonts w:ascii="Times New Roman" w:hAnsi="Times New Roman" w:cs="Times New Roman"/>
          <w:sz w:val="24"/>
          <w:szCs w:val="24"/>
        </w:rPr>
        <w:t xml:space="preserve"> involve traveling to a country and meeting with government officials, firm executives, and/or consumers to clarify uncertainties.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Often, firms use a variety of techniques for making country risk assessments.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For example, they may use a checklist approach to develop an overall country risk rating, and some of the other techniques to assign ratings to the factors considered.</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Developing A Country Risk Rating</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A checklist approach will require the following steps:</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Assign values and weights to the political risk factors.</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Multiply the factor values with their respective weights, and sum up to give the political risk rating.</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Derive the financial risk rating similarly.</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Multiply the ratings with their respective weights, and sum up to give the overall country risk rating.</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Different country risk assessors have their own individual procedures for quantifying country risk.</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Although most procedures involve rating and weighting individual risk factors, the number, type, rating, and weighting of the factors will vary with the country being assessed, as well as the type of corporate operations being planned.</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Firms may use country risk ratings when screening potential projects, or when monitoring existing projects.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For example, decisions regarding subsidiary expansion, fund transfers to the parent, and sources of financing, can all be affected by changes in the country risk rating.</w:t>
      </w:r>
    </w:p>
    <w:p w:rsidR="00571D73" w:rsidRPr="00AD5678" w:rsidRDefault="00AD5678" w:rsidP="00AD5678">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Comparing Risk Ratings </w:t>
      </w:r>
      <w:r w:rsidR="0098174B" w:rsidRPr="00AD5678">
        <w:rPr>
          <w:rFonts w:ascii="Times New Roman" w:hAnsi="Times New Roman" w:cs="Times New Roman"/>
          <w:sz w:val="24"/>
          <w:szCs w:val="24"/>
        </w:rPr>
        <w:t>Among Countries</w:t>
      </w:r>
    </w:p>
    <w:p w:rsidR="00571D73"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 xml:space="preserve">One approach to comparing political and financial ratings among countries is the </w:t>
      </w:r>
      <w:r w:rsidRPr="00AD5678">
        <w:rPr>
          <w:rFonts w:ascii="Times New Roman" w:hAnsi="Times New Roman" w:cs="Times New Roman"/>
          <w:i/>
          <w:iCs/>
          <w:sz w:val="24"/>
          <w:szCs w:val="24"/>
        </w:rPr>
        <w:t>foreign investment risk matrix (</w:t>
      </w:r>
      <w:proofErr w:type="gramStart"/>
      <w:r w:rsidRPr="00AD5678">
        <w:rPr>
          <w:rFonts w:ascii="Times New Roman" w:hAnsi="Times New Roman" w:cs="Times New Roman"/>
          <w:i/>
          <w:iCs/>
          <w:sz w:val="24"/>
          <w:szCs w:val="24"/>
        </w:rPr>
        <w:t>FIRM )</w:t>
      </w:r>
      <w:proofErr w:type="gramEnd"/>
      <w:r w:rsidRPr="00AD5678">
        <w:rPr>
          <w:rFonts w:ascii="Times New Roman" w:hAnsi="Times New Roman" w:cs="Times New Roman"/>
          <w:sz w:val="24"/>
          <w:szCs w:val="24"/>
        </w:rPr>
        <w:t>.</w:t>
      </w:r>
    </w:p>
    <w:p w:rsidR="00D05AAD" w:rsidRDefault="00D05AAD" w:rsidP="00D05AAD">
      <w:pPr>
        <w:ind w:left="720"/>
        <w:jc w:val="center"/>
        <w:rPr>
          <w:rFonts w:ascii="Times New Roman" w:hAnsi="Times New Roman" w:cs="Times New Roman"/>
          <w:sz w:val="24"/>
          <w:szCs w:val="24"/>
        </w:rPr>
      </w:pPr>
      <w:r w:rsidRPr="00D05AAD">
        <w:rPr>
          <w:rFonts w:ascii="Times New Roman" w:hAnsi="Times New Roman" w:cs="Times New Roman"/>
          <w:sz w:val="24"/>
          <w:szCs w:val="24"/>
        </w:rPr>
        <w:drawing>
          <wp:inline distT="0" distB="0" distL="0" distR="0">
            <wp:extent cx="3548743" cy="2373086"/>
            <wp:effectExtent l="0" t="0" r="0" b="0"/>
            <wp:docPr id="3"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5991225"/>
                      <a:chOff x="0" y="304800"/>
                      <a:chExt cx="9144000" cy="5991225"/>
                    </a:xfrm>
                  </a:grpSpPr>
                  <a:grpSp>
                    <a:nvGrpSpPr>
                      <a:cNvPr id="2" name="Group 27"/>
                      <a:cNvGrpSpPr>
                        <a:grpSpLocks/>
                      </a:cNvGrpSpPr>
                    </a:nvGrpSpPr>
                    <a:grpSpPr bwMode="auto">
                      <a:xfrm>
                        <a:off x="1535113" y="1371600"/>
                        <a:ext cx="5643562" cy="4924425"/>
                        <a:chOff x="967" y="912"/>
                        <a:chExt cx="3555" cy="3102"/>
                      </a:xfrm>
                    </a:grpSpPr>
                    <a:sp>
                      <a:nvSpPr>
                        <a:cNvPr id="33796" name="Freeform 24"/>
                        <a:cNvSpPr>
                          <a:spLocks/>
                        </a:cNvSpPr>
                      </a:nvSpPr>
                      <a:spPr bwMode="auto">
                        <a:xfrm>
                          <a:off x="1546" y="1488"/>
                          <a:ext cx="2976" cy="2478"/>
                        </a:xfrm>
                        <a:custGeom>
                          <a:avLst/>
                          <a:gdLst>
                            <a:gd name="T0" fmla="*/ 0 w 2976"/>
                            <a:gd name="T1" fmla="*/ 0 h 2496"/>
                            <a:gd name="T2" fmla="*/ 672 w 2976"/>
                            <a:gd name="T3" fmla="*/ 0 h 2496"/>
                            <a:gd name="T4" fmla="*/ 2976 w 2976"/>
                            <a:gd name="T5" fmla="*/ 2084 h 2496"/>
                            <a:gd name="T6" fmla="*/ 2976 w 2976"/>
                            <a:gd name="T7" fmla="*/ 2356 h 2496"/>
                            <a:gd name="T8" fmla="*/ 0 w 2976"/>
                            <a:gd name="T9" fmla="*/ 2356 h 2496"/>
                            <a:gd name="T10" fmla="*/ 0 w 2976"/>
                            <a:gd name="T11" fmla="*/ 0 h 2496"/>
                            <a:gd name="T12" fmla="*/ 0 60000 65536"/>
                            <a:gd name="T13" fmla="*/ 0 60000 65536"/>
                            <a:gd name="T14" fmla="*/ 0 60000 65536"/>
                            <a:gd name="T15" fmla="*/ 0 60000 65536"/>
                            <a:gd name="T16" fmla="*/ 0 60000 65536"/>
                            <a:gd name="T17" fmla="*/ 0 60000 65536"/>
                            <a:gd name="T18" fmla="*/ 0 w 2976"/>
                            <a:gd name="T19" fmla="*/ 0 h 2496"/>
                            <a:gd name="T20" fmla="*/ 2976 w 2976"/>
                            <a:gd name="T21" fmla="*/ 2496 h 2496"/>
                          </a:gdLst>
                          <a:ahLst/>
                          <a:cxnLst>
                            <a:cxn ang="T12">
                              <a:pos x="T0" y="T1"/>
                            </a:cxn>
                            <a:cxn ang="T13">
                              <a:pos x="T2" y="T3"/>
                            </a:cxn>
                            <a:cxn ang="T14">
                              <a:pos x="T4" y="T5"/>
                            </a:cxn>
                            <a:cxn ang="T15">
                              <a:pos x="T6" y="T7"/>
                            </a:cxn>
                            <a:cxn ang="T16">
                              <a:pos x="T8" y="T9"/>
                            </a:cxn>
                            <a:cxn ang="T17">
                              <a:pos x="T10" y="T11"/>
                            </a:cxn>
                          </a:cxnLst>
                          <a:rect l="T18" t="T19" r="T20" b="T21"/>
                          <a:pathLst>
                            <a:path w="2976" h="2496">
                              <a:moveTo>
                                <a:pt x="0" y="0"/>
                              </a:moveTo>
                              <a:lnTo>
                                <a:pt x="672" y="0"/>
                              </a:lnTo>
                              <a:lnTo>
                                <a:pt x="2976" y="2208"/>
                              </a:lnTo>
                              <a:lnTo>
                                <a:pt x="2976" y="2496"/>
                              </a:lnTo>
                              <a:lnTo>
                                <a:pt x="0" y="2496"/>
                              </a:lnTo>
                              <a:lnTo>
                                <a:pt x="0" y="0"/>
                              </a:lnTo>
                              <a:close/>
                            </a:path>
                          </a:pathLst>
                        </a:custGeom>
                        <a:solidFill>
                          <a:srgbClr val="FF99FF"/>
                        </a:solidFill>
                        <a:ln w="9525">
                          <a:solidFill>
                            <a:srgbClr val="FF99FF"/>
                          </a:solidFill>
                          <a:round/>
                          <a:headEnd/>
                          <a:tailEnd/>
                        </a:ln>
                      </a:spPr>
                      <a:txSp>
                        <a:txBody>
                          <a:bodyPr wrap="none" anchor="ct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endParaRPr lang="en-US"/>
                          </a:p>
                        </a:txBody>
                        <a:useSpRect/>
                      </a:txSp>
                    </a:sp>
                    <a:sp>
                      <a:nvSpPr>
                        <a:cNvPr id="33797" name="Freeform 25"/>
                        <a:cNvSpPr>
                          <a:spLocks/>
                        </a:cNvSpPr>
                      </a:nvSpPr>
                      <a:spPr bwMode="auto">
                        <a:xfrm>
                          <a:off x="2698" y="1470"/>
                          <a:ext cx="1824" cy="1728"/>
                        </a:xfrm>
                        <a:custGeom>
                          <a:avLst/>
                          <a:gdLst>
                            <a:gd name="T0" fmla="*/ 0 w 1824"/>
                            <a:gd name="T1" fmla="*/ 0 h 1728"/>
                            <a:gd name="T2" fmla="*/ 1824 w 1824"/>
                            <a:gd name="T3" fmla="*/ 0 h 1728"/>
                            <a:gd name="T4" fmla="*/ 1824 w 1824"/>
                            <a:gd name="T5" fmla="*/ 1728 h 1728"/>
                            <a:gd name="T6" fmla="*/ 0 w 1824"/>
                            <a:gd name="T7" fmla="*/ 0 h 1728"/>
                            <a:gd name="T8" fmla="*/ 0 60000 65536"/>
                            <a:gd name="T9" fmla="*/ 0 60000 65536"/>
                            <a:gd name="T10" fmla="*/ 0 60000 65536"/>
                            <a:gd name="T11" fmla="*/ 0 60000 65536"/>
                            <a:gd name="T12" fmla="*/ 0 w 1824"/>
                            <a:gd name="T13" fmla="*/ 0 h 1728"/>
                            <a:gd name="T14" fmla="*/ 1824 w 1824"/>
                            <a:gd name="T15" fmla="*/ 1728 h 1728"/>
                          </a:gdLst>
                          <a:ahLst/>
                          <a:cxnLst>
                            <a:cxn ang="T8">
                              <a:pos x="T0" y="T1"/>
                            </a:cxn>
                            <a:cxn ang="T9">
                              <a:pos x="T2" y="T3"/>
                            </a:cxn>
                            <a:cxn ang="T10">
                              <a:pos x="T4" y="T5"/>
                            </a:cxn>
                            <a:cxn ang="T11">
                              <a:pos x="T6" y="T7"/>
                            </a:cxn>
                          </a:cxnLst>
                          <a:rect l="T12" t="T13" r="T14" b="T15"/>
                          <a:pathLst>
                            <a:path w="1824" h="1728">
                              <a:moveTo>
                                <a:pt x="0" y="0"/>
                              </a:moveTo>
                              <a:lnTo>
                                <a:pt x="1824" y="0"/>
                              </a:lnTo>
                              <a:lnTo>
                                <a:pt x="1824" y="1728"/>
                              </a:lnTo>
                              <a:lnTo>
                                <a:pt x="0" y="0"/>
                              </a:lnTo>
                              <a:close/>
                            </a:path>
                          </a:pathLst>
                        </a:custGeom>
                        <a:solidFill>
                          <a:srgbClr val="99FFCC"/>
                        </a:solidFill>
                        <a:ln w="9525">
                          <a:solidFill>
                            <a:srgbClr val="99FFCC"/>
                          </a:solidFill>
                          <a:round/>
                          <a:headEnd/>
                          <a:tailEnd/>
                        </a:ln>
                      </a:spPr>
                      <a:txSp>
                        <a:txBody>
                          <a:bodyPr wrap="none" anchor="ct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endParaRPr lang="en-US"/>
                          </a:p>
                        </a:txBody>
                        <a:useSpRect/>
                      </a:txSp>
                    </a:sp>
                    <a:sp>
                      <a:nvSpPr>
                        <a:cNvPr id="33798" name="Freeform 23"/>
                        <a:cNvSpPr>
                          <a:spLocks/>
                        </a:cNvSpPr>
                      </a:nvSpPr>
                      <a:spPr bwMode="auto">
                        <a:xfrm>
                          <a:off x="1930" y="1470"/>
                          <a:ext cx="2592" cy="2304"/>
                        </a:xfrm>
                        <a:custGeom>
                          <a:avLst/>
                          <a:gdLst>
                            <a:gd name="T0" fmla="*/ 38 w 2526"/>
                            <a:gd name="T1" fmla="*/ 6 h 2190"/>
                            <a:gd name="T2" fmla="*/ 1099 w 2526"/>
                            <a:gd name="T3" fmla="*/ 6 h 2190"/>
                            <a:gd name="T4" fmla="*/ 1232 w 2526"/>
                            <a:gd name="T5" fmla="*/ 171 h 2190"/>
                            <a:gd name="T6" fmla="*/ 1305 w 2526"/>
                            <a:gd name="T7" fmla="*/ 242 h 2190"/>
                            <a:gd name="T8" fmla="*/ 1334 w 2526"/>
                            <a:gd name="T9" fmla="*/ 297 h 2190"/>
                            <a:gd name="T10" fmla="*/ 1423 w 2526"/>
                            <a:gd name="T11" fmla="*/ 369 h 2190"/>
                            <a:gd name="T12" fmla="*/ 1629 w 2526"/>
                            <a:gd name="T13" fmla="*/ 675 h 2190"/>
                            <a:gd name="T14" fmla="*/ 1646 w 2526"/>
                            <a:gd name="T15" fmla="*/ 729 h 2190"/>
                            <a:gd name="T16" fmla="*/ 1822 w 2526"/>
                            <a:gd name="T17" fmla="*/ 892 h 2190"/>
                            <a:gd name="T18" fmla="*/ 1895 w 2526"/>
                            <a:gd name="T19" fmla="*/ 983 h 2190"/>
                            <a:gd name="T20" fmla="*/ 1969 w 2526"/>
                            <a:gd name="T21" fmla="*/ 1054 h 2190"/>
                            <a:gd name="T22" fmla="*/ 2043 w 2526"/>
                            <a:gd name="T23" fmla="*/ 1125 h 2190"/>
                            <a:gd name="T24" fmla="*/ 2175 w 2526"/>
                            <a:gd name="T25" fmla="*/ 1289 h 2190"/>
                            <a:gd name="T26" fmla="*/ 2352 w 2526"/>
                            <a:gd name="T27" fmla="*/ 1451 h 2190"/>
                            <a:gd name="T28" fmla="*/ 2396 w 2526"/>
                            <a:gd name="T29" fmla="*/ 1504 h 2190"/>
                            <a:gd name="T30" fmla="*/ 2486 w 2526"/>
                            <a:gd name="T31" fmla="*/ 1558 h 2190"/>
                            <a:gd name="T32" fmla="*/ 2514 w 2526"/>
                            <a:gd name="T33" fmla="*/ 1613 h 2190"/>
                            <a:gd name="T34" fmla="*/ 2603 w 2526"/>
                            <a:gd name="T35" fmla="*/ 1683 h 2190"/>
                            <a:gd name="T36" fmla="*/ 2766 w 2526"/>
                            <a:gd name="T37" fmla="*/ 1846 h 2190"/>
                            <a:gd name="T38" fmla="*/ 2795 w 2526"/>
                            <a:gd name="T39" fmla="*/ 1900 h 2190"/>
                            <a:gd name="T40" fmla="*/ 2884 w 2526"/>
                            <a:gd name="T41" fmla="*/ 1973 h 2190"/>
                            <a:gd name="T42" fmla="*/ 3047 w 2526"/>
                            <a:gd name="T43" fmla="*/ 2154 h 2190"/>
                            <a:gd name="T44" fmla="*/ 3105 w 2526"/>
                            <a:gd name="T45" fmla="*/ 2223 h 2190"/>
                            <a:gd name="T46" fmla="*/ 3105 w 2526"/>
                            <a:gd name="T47" fmla="*/ 3288 h 2190"/>
                            <a:gd name="T48" fmla="*/ 2839 w 2526"/>
                            <a:gd name="T49" fmla="*/ 3125 h 2190"/>
                            <a:gd name="T50" fmla="*/ 2721 w 2526"/>
                            <a:gd name="T51" fmla="*/ 3089 h 2190"/>
                            <a:gd name="T52" fmla="*/ 2632 w 2526"/>
                            <a:gd name="T53" fmla="*/ 3017 h 2190"/>
                            <a:gd name="T54" fmla="*/ 2456 w 2526"/>
                            <a:gd name="T55" fmla="*/ 2890 h 2190"/>
                            <a:gd name="T56" fmla="*/ 2383 w 2526"/>
                            <a:gd name="T57" fmla="*/ 2800 h 2190"/>
                            <a:gd name="T58" fmla="*/ 2235 w 2526"/>
                            <a:gd name="T59" fmla="*/ 2602 h 2190"/>
                            <a:gd name="T60" fmla="*/ 2161 w 2526"/>
                            <a:gd name="T61" fmla="*/ 2511 h 2190"/>
                            <a:gd name="T62" fmla="*/ 2057 w 2526"/>
                            <a:gd name="T63" fmla="*/ 2351 h 2190"/>
                            <a:gd name="T64" fmla="*/ 1911 w 2526"/>
                            <a:gd name="T65" fmla="*/ 2188 h 2190"/>
                            <a:gd name="T66" fmla="*/ 1585 w 2526"/>
                            <a:gd name="T67" fmla="*/ 1936 h 2190"/>
                            <a:gd name="T68" fmla="*/ 1173 w 2526"/>
                            <a:gd name="T69" fmla="*/ 1578 h 2190"/>
                            <a:gd name="T70" fmla="*/ 967 w 2526"/>
                            <a:gd name="T71" fmla="*/ 1305 h 2190"/>
                            <a:gd name="T72" fmla="*/ 701 w 2526"/>
                            <a:gd name="T73" fmla="*/ 927 h 2190"/>
                            <a:gd name="T74" fmla="*/ 450 w 2526"/>
                            <a:gd name="T75" fmla="*/ 494 h 2190"/>
                            <a:gd name="T76" fmla="*/ 302 w 2526"/>
                            <a:gd name="T77" fmla="*/ 297 h 2190"/>
                            <a:gd name="T78" fmla="*/ 94 w 2526"/>
                            <a:gd name="T79" fmla="*/ 99 h 2190"/>
                            <a:gd name="T80" fmla="*/ 50 w 2526"/>
                            <a:gd name="T81" fmla="*/ 26 h 2190"/>
                            <a:gd name="T82" fmla="*/ 6 w 2526"/>
                            <a:gd name="T83" fmla="*/ 6 h 2190"/>
                            <a:gd name="T84" fmla="*/ 38 w 2526"/>
                            <a:gd name="T85" fmla="*/ 6 h 219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w 2526"/>
                            <a:gd name="T130" fmla="*/ 0 h 2190"/>
                            <a:gd name="T131" fmla="*/ 2526 w 2526"/>
                            <a:gd name="T132" fmla="*/ 2190 h 2190"/>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T129" t="T130" r="T131" b="T132"/>
                          <a:pathLst>
                            <a:path w="2526" h="2190">
                              <a:moveTo>
                                <a:pt x="30" y="6"/>
                              </a:moveTo>
                              <a:lnTo>
                                <a:pt x="894" y="6"/>
                              </a:lnTo>
                              <a:cubicBezTo>
                                <a:pt x="932" y="44"/>
                                <a:pt x="958" y="84"/>
                                <a:pt x="1002" y="114"/>
                              </a:cubicBezTo>
                              <a:cubicBezTo>
                                <a:pt x="1071" y="217"/>
                                <a:pt x="979" y="96"/>
                                <a:pt x="1062" y="162"/>
                              </a:cubicBezTo>
                              <a:cubicBezTo>
                                <a:pt x="1073" y="171"/>
                                <a:pt x="1075" y="189"/>
                                <a:pt x="1086" y="198"/>
                              </a:cubicBezTo>
                              <a:cubicBezTo>
                                <a:pt x="1108" y="217"/>
                                <a:pt x="1158" y="246"/>
                                <a:pt x="1158" y="246"/>
                              </a:cubicBezTo>
                              <a:cubicBezTo>
                                <a:pt x="1206" y="318"/>
                                <a:pt x="1254" y="402"/>
                                <a:pt x="1326" y="450"/>
                              </a:cubicBezTo>
                              <a:cubicBezTo>
                                <a:pt x="1330" y="462"/>
                                <a:pt x="1329" y="477"/>
                                <a:pt x="1338" y="486"/>
                              </a:cubicBezTo>
                              <a:cubicBezTo>
                                <a:pt x="1344" y="492"/>
                                <a:pt x="1467" y="584"/>
                                <a:pt x="1482" y="594"/>
                              </a:cubicBezTo>
                              <a:cubicBezTo>
                                <a:pt x="1546" y="690"/>
                                <a:pt x="1462" y="574"/>
                                <a:pt x="1542" y="654"/>
                              </a:cubicBezTo>
                              <a:cubicBezTo>
                                <a:pt x="1596" y="708"/>
                                <a:pt x="1532" y="679"/>
                                <a:pt x="1602" y="702"/>
                              </a:cubicBezTo>
                              <a:cubicBezTo>
                                <a:pt x="1668" y="801"/>
                                <a:pt x="1582" y="688"/>
                                <a:pt x="1662" y="750"/>
                              </a:cubicBezTo>
                              <a:cubicBezTo>
                                <a:pt x="1662" y="750"/>
                                <a:pt x="1752" y="840"/>
                                <a:pt x="1770" y="858"/>
                              </a:cubicBezTo>
                              <a:cubicBezTo>
                                <a:pt x="1811" y="899"/>
                                <a:pt x="1874" y="926"/>
                                <a:pt x="1914" y="966"/>
                              </a:cubicBezTo>
                              <a:cubicBezTo>
                                <a:pt x="1926" y="978"/>
                                <a:pt x="1936" y="993"/>
                                <a:pt x="1950" y="1002"/>
                              </a:cubicBezTo>
                              <a:cubicBezTo>
                                <a:pt x="1972" y="1017"/>
                                <a:pt x="2000" y="1023"/>
                                <a:pt x="2022" y="1038"/>
                              </a:cubicBezTo>
                              <a:cubicBezTo>
                                <a:pt x="2030" y="1050"/>
                                <a:pt x="2035" y="1065"/>
                                <a:pt x="2046" y="1074"/>
                              </a:cubicBezTo>
                              <a:cubicBezTo>
                                <a:pt x="2068" y="1093"/>
                                <a:pt x="2118" y="1122"/>
                                <a:pt x="2118" y="1122"/>
                              </a:cubicBezTo>
                              <a:cubicBezTo>
                                <a:pt x="2149" y="1168"/>
                                <a:pt x="2197" y="1212"/>
                                <a:pt x="2250" y="1230"/>
                              </a:cubicBezTo>
                              <a:cubicBezTo>
                                <a:pt x="2258" y="1242"/>
                                <a:pt x="2263" y="1257"/>
                                <a:pt x="2274" y="1266"/>
                              </a:cubicBezTo>
                              <a:cubicBezTo>
                                <a:pt x="2296" y="1285"/>
                                <a:pt x="2346" y="1314"/>
                                <a:pt x="2346" y="1314"/>
                              </a:cubicBezTo>
                              <a:cubicBezTo>
                                <a:pt x="2378" y="1362"/>
                                <a:pt x="2429" y="1402"/>
                                <a:pt x="2478" y="1434"/>
                              </a:cubicBezTo>
                              <a:cubicBezTo>
                                <a:pt x="2507" y="1477"/>
                                <a:pt x="2489" y="1464"/>
                                <a:pt x="2526" y="1482"/>
                              </a:cubicBezTo>
                              <a:cubicBezTo>
                                <a:pt x="2526" y="1718"/>
                                <a:pt x="2526" y="1954"/>
                                <a:pt x="2526" y="2190"/>
                              </a:cubicBezTo>
                              <a:cubicBezTo>
                                <a:pt x="2408" y="2160"/>
                                <a:pt x="2408" y="2147"/>
                                <a:pt x="2310" y="2082"/>
                              </a:cubicBezTo>
                              <a:cubicBezTo>
                                <a:pt x="2283" y="2064"/>
                                <a:pt x="2214" y="2058"/>
                                <a:pt x="2214" y="2058"/>
                              </a:cubicBezTo>
                              <a:cubicBezTo>
                                <a:pt x="2134" y="1978"/>
                                <a:pt x="2220" y="2053"/>
                                <a:pt x="2142" y="2010"/>
                              </a:cubicBezTo>
                              <a:cubicBezTo>
                                <a:pt x="2089" y="1980"/>
                                <a:pt x="2054" y="1945"/>
                                <a:pt x="1998" y="1926"/>
                              </a:cubicBezTo>
                              <a:cubicBezTo>
                                <a:pt x="1934" y="1830"/>
                                <a:pt x="2018" y="1946"/>
                                <a:pt x="1938" y="1866"/>
                              </a:cubicBezTo>
                              <a:cubicBezTo>
                                <a:pt x="1895" y="1823"/>
                                <a:pt x="1870" y="1769"/>
                                <a:pt x="1818" y="1734"/>
                              </a:cubicBezTo>
                              <a:cubicBezTo>
                                <a:pt x="1754" y="1638"/>
                                <a:pt x="1838" y="1754"/>
                                <a:pt x="1758" y="1674"/>
                              </a:cubicBezTo>
                              <a:cubicBezTo>
                                <a:pt x="1727" y="1643"/>
                                <a:pt x="1702" y="1600"/>
                                <a:pt x="1674" y="1566"/>
                              </a:cubicBezTo>
                              <a:cubicBezTo>
                                <a:pt x="1650" y="1538"/>
                                <a:pt x="1582" y="1479"/>
                                <a:pt x="1554" y="1458"/>
                              </a:cubicBezTo>
                              <a:cubicBezTo>
                                <a:pt x="1475" y="1399"/>
                                <a:pt x="1362" y="1362"/>
                                <a:pt x="1290" y="1290"/>
                              </a:cubicBezTo>
                              <a:cubicBezTo>
                                <a:pt x="1194" y="1194"/>
                                <a:pt x="1067" y="1125"/>
                                <a:pt x="954" y="1050"/>
                              </a:cubicBezTo>
                              <a:cubicBezTo>
                                <a:pt x="883" y="1003"/>
                                <a:pt x="845" y="929"/>
                                <a:pt x="786" y="870"/>
                              </a:cubicBezTo>
                              <a:cubicBezTo>
                                <a:pt x="759" y="788"/>
                                <a:pt x="630" y="695"/>
                                <a:pt x="570" y="618"/>
                              </a:cubicBezTo>
                              <a:cubicBezTo>
                                <a:pt x="497" y="525"/>
                                <a:pt x="442" y="421"/>
                                <a:pt x="366" y="330"/>
                              </a:cubicBezTo>
                              <a:cubicBezTo>
                                <a:pt x="327" y="283"/>
                                <a:pt x="297" y="232"/>
                                <a:pt x="246" y="198"/>
                              </a:cubicBezTo>
                              <a:cubicBezTo>
                                <a:pt x="206" y="137"/>
                                <a:pt x="138" y="106"/>
                                <a:pt x="78" y="66"/>
                              </a:cubicBezTo>
                              <a:cubicBezTo>
                                <a:pt x="61" y="55"/>
                                <a:pt x="57" y="31"/>
                                <a:pt x="42" y="18"/>
                              </a:cubicBezTo>
                              <a:cubicBezTo>
                                <a:pt x="32" y="10"/>
                                <a:pt x="15" y="15"/>
                                <a:pt x="6" y="6"/>
                              </a:cubicBezTo>
                              <a:cubicBezTo>
                                <a:pt x="0" y="0"/>
                                <a:pt x="22" y="6"/>
                                <a:pt x="30" y="6"/>
                              </a:cubicBezTo>
                              <a:close/>
                            </a:path>
                          </a:pathLst>
                        </a:custGeom>
                        <a:solidFill>
                          <a:srgbClr val="99CCFF"/>
                        </a:solidFill>
                        <a:ln w="9525">
                          <a:solidFill>
                            <a:srgbClr val="99CCFF"/>
                          </a:solidFill>
                          <a:round/>
                          <a:headEnd/>
                          <a:tailEnd/>
                        </a:ln>
                      </a:spPr>
                      <a:txSp>
                        <a:txBody>
                          <a:bodyPr wrap="none" anchor="ct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endParaRPr lang="en-US"/>
                          </a:p>
                        </a:txBody>
                        <a:useSpRect/>
                      </a:txSp>
                    </a:sp>
                    <a:sp>
                      <a:nvSpPr>
                        <a:cNvPr id="33799" name="Rectangle 6"/>
                        <a:cNvSpPr>
                          <a:spLocks noChangeArrowheads="1"/>
                        </a:cNvSpPr>
                      </a:nvSpPr>
                      <a:spPr bwMode="auto">
                        <a:xfrm>
                          <a:off x="1546" y="1470"/>
                          <a:ext cx="2976" cy="2496"/>
                        </a:xfrm>
                        <a:prstGeom prst="rect">
                          <a:avLst/>
                        </a:prstGeom>
                        <a:noFill/>
                        <a:ln w="25400">
                          <a:solidFill>
                            <a:schemeClr val="tx1"/>
                          </a:solidFill>
                          <a:miter lim="800000"/>
                          <a:headEnd/>
                          <a:tailEnd/>
                        </a:ln>
                      </a:spPr>
                      <a:txSp>
                        <a:txBody>
                          <a:bodyPr wrap="none" anchor="ct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endParaRPr lang="en-US"/>
                          </a:p>
                        </a:txBody>
                        <a:useSpRect/>
                      </a:txSp>
                    </a:sp>
                    <a:sp>
                      <a:nvSpPr>
                        <a:cNvPr id="33800" name="Rectangle 7"/>
                        <a:cNvSpPr>
                          <a:spLocks noChangeArrowheads="1"/>
                        </a:cNvSpPr>
                      </a:nvSpPr>
                      <a:spPr bwMode="auto">
                        <a:xfrm>
                          <a:off x="2698" y="2142"/>
                          <a:ext cx="864" cy="452"/>
                        </a:xfrm>
                        <a:prstGeom prst="rect">
                          <a:avLst/>
                        </a:prstGeom>
                        <a:noFill/>
                        <a:ln w="9525">
                          <a:noFill/>
                          <a:miter lim="800000"/>
                          <a:headEnd/>
                          <a:tailEnd/>
                        </a:ln>
                      </a:spPr>
                      <a:txSp>
                        <a:txBody>
                          <a:bodyPr lIns="90488" tIns="44450" rIns="90488" bIns="44450">
                            <a:spAutoFit/>
                          </a:bodyP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pPr>
                              <a:lnSpc>
                                <a:spcPct val="85000"/>
                              </a:lnSpc>
                            </a:pPr>
                            <a:r>
                              <a:rPr lang="en-US" sz="2400"/>
                              <a:t>Unclear</a:t>
                            </a:r>
                          </a:p>
                          <a:p>
                            <a:pPr>
                              <a:lnSpc>
                                <a:spcPct val="85000"/>
                              </a:lnSpc>
                            </a:pPr>
                            <a:r>
                              <a:rPr lang="en-US" sz="2400"/>
                              <a:t>Zone</a:t>
                            </a:r>
                          </a:p>
                        </a:txBody>
                        <a:useSpRect/>
                      </a:txSp>
                    </a:sp>
                    <a:sp>
                      <a:nvSpPr>
                        <a:cNvPr id="33801" name="Rectangle 8"/>
                        <a:cNvSpPr>
                          <a:spLocks noChangeArrowheads="1"/>
                        </a:cNvSpPr>
                      </a:nvSpPr>
                      <a:spPr bwMode="auto">
                        <a:xfrm>
                          <a:off x="3340" y="1668"/>
                          <a:ext cx="1176" cy="452"/>
                        </a:xfrm>
                        <a:prstGeom prst="rect">
                          <a:avLst/>
                        </a:prstGeom>
                        <a:noFill/>
                        <a:ln w="9525">
                          <a:noFill/>
                          <a:miter lim="800000"/>
                          <a:headEnd/>
                          <a:tailEnd/>
                        </a:ln>
                      </a:spPr>
                      <a:txSp>
                        <a:txBody>
                          <a:bodyPr lIns="90488" tIns="44450" rIns="90488" bIns="44450">
                            <a:spAutoFit/>
                          </a:bodyP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pPr>
                              <a:lnSpc>
                                <a:spcPct val="85000"/>
                              </a:lnSpc>
                            </a:pPr>
                            <a:r>
                              <a:rPr lang="en-US" sz="2400"/>
                              <a:t>Acceptable</a:t>
                            </a:r>
                          </a:p>
                          <a:p>
                            <a:pPr>
                              <a:lnSpc>
                                <a:spcPct val="85000"/>
                              </a:lnSpc>
                            </a:pPr>
                            <a:r>
                              <a:rPr lang="en-US" sz="2400"/>
                              <a:t>Zone</a:t>
                            </a:r>
                          </a:p>
                        </a:txBody>
                        <a:useSpRect/>
                      </a:txSp>
                    </a:sp>
                    <a:sp>
                      <a:nvSpPr>
                        <a:cNvPr id="33802" name="Rectangle 9"/>
                        <a:cNvSpPr>
                          <a:spLocks noChangeArrowheads="1"/>
                        </a:cNvSpPr>
                      </a:nvSpPr>
                      <a:spPr bwMode="auto">
                        <a:xfrm>
                          <a:off x="1782" y="2870"/>
                          <a:ext cx="1191" cy="452"/>
                        </a:xfrm>
                        <a:prstGeom prst="rect">
                          <a:avLst/>
                        </a:prstGeom>
                        <a:noFill/>
                        <a:ln w="9525">
                          <a:noFill/>
                          <a:miter lim="800000"/>
                          <a:headEnd/>
                          <a:tailEnd/>
                        </a:ln>
                      </a:spPr>
                      <a:txSp>
                        <a:txBody>
                          <a:bodyPr wrap="none" lIns="90488" tIns="44450" rIns="90488" bIns="44450">
                            <a:spAutoFit/>
                          </a:bodyP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pPr>
                              <a:lnSpc>
                                <a:spcPct val="85000"/>
                              </a:lnSpc>
                            </a:pPr>
                            <a:r>
                              <a:rPr lang="en-US" sz="2400"/>
                              <a:t>Unacceptable</a:t>
                            </a:r>
                          </a:p>
                          <a:p>
                            <a:pPr>
                              <a:lnSpc>
                                <a:spcPct val="85000"/>
                              </a:lnSpc>
                            </a:pPr>
                            <a:r>
                              <a:rPr lang="en-US" sz="2400"/>
                              <a:t>Zone</a:t>
                            </a:r>
                          </a:p>
                        </a:txBody>
                        <a:useSpRect/>
                      </a:txSp>
                    </a:sp>
                    <a:sp>
                      <a:nvSpPr>
                        <a:cNvPr id="33803" name="Rectangle 10"/>
                        <a:cNvSpPr>
                          <a:spLocks noChangeArrowheads="1"/>
                        </a:cNvSpPr>
                      </a:nvSpPr>
                      <a:spPr bwMode="auto">
                        <a:xfrm>
                          <a:off x="1488" y="912"/>
                          <a:ext cx="3024" cy="286"/>
                        </a:xfrm>
                        <a:prstGeom prst="rect">
                          <a:avLst/>
                        </a:prstGeom>
                        <a:noFill/>
                        <a:ln w="9525">
                          <a:noFill/>
                          <a:miter lim="800000"/>
                          <a:headEnd/>
                          <a:tailEnd/>
                        </a:ln>
                      </a:spPr>
                      <a:txSp>
                        <a:txBody>
                          <a:bodyPr lIns="90488" tIns="44450" rIns="90488" bIns="44450">
                            <a:spAutoFit/>
                          </a:bodyP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r>
                              <a:rPr lang="en-US" dirty="0">
                                <a:solidFill>
                                  <a:srgbClr val="990033"/>
                                </a:solidFill>
                              </a:rPr>
                              <a:t>Financial Risk Rating</a:t>
                            </a:r>
                          </a:p>
                        </a:txBody>
                        <a:useSpRect/>
                      </a:txSp>
                    </a:sp>
                    <a:sp>
                      <a:nvSpPr>
                        <a:cNvPr id="33804" name="Rectangle 11"/>
                        <a:cNvSpPr>
                          <a:spLocks noChangeArrowheads="1"/>
                        </a:cNvSpPr>
                      </a:nvSpPr>
                      <a:spPr bwMode="auto">
                        <a:xfrm rot="-5400000">
                          <a:off x="-121" y="2503"/>
                          <a:ext cx="2544" cy="367"/>
                        </a:xfrm>
                        <a:prstGeom prst="rect">
                          <a:avLst/>
                        </a:prstGeom>
                        <a:noFill/>
                        <a:ln w="9525">
                          <a:noFill/>
                          <a:miter lim="800000"/>
                          <a:headEnd/>
                          <a:tailEnd/>
                        </a:ln>
                      </a:spPr>
                      <a:txSp>
                        <a:txBody>
                          <a:bodyPr lIns="90488" tIns="44450" rIns="90488" bIns="44450">
                            <a:spAutoFit/>
                          </a:bodyP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r>
                              <a:rPr lang="en-US" sz="3200">
                                <a:solidFill>
                                  <a:srgbClr val="990033"/>
                                </a:solidFill>
                              </a:rPr>
                              <a:t>Political Risk Rating</a:t>
                            </a:r>
                          </a:p>
                        </a:txBody>
                        <a:useSpRect/>
                      </a:txSp>
                    </a:sp>
                    <a:sp>
                      <a:nvSpPr>
                        <a:cNvPr id="33805" name="Rectangle 12"/>
                        <a:cNvSpPr>
                          <a:spLocks noChangeArrowheads="1"/>
                        </a:cNvSpPr>
                      </a:nvSpPr>
                      <a:spPr bwMode="auto">
                        <a:xfrm>
                          <a:off x="3178" y="1203"/>
                          <a:ext cx="1344" cy="328"/>
                        </a:xfrm>
                        <a:prstGeom prst="rect">
                          <a:avLst/>
                        </a:prstGeom>
                        <a:noFill/>
                        <a:ln w="9525">
                          <a:noFill/>
                          <a:miter lim="800000"/>
                          <a:headEnd/>
                          <a:tailEnd/>
                        </a:ln>
                      </a:spPr>
                      <a:txSp>
                        <a:txBody>
                          <a:bodyPr lIns="90488" tIns="44450" rIns="90488" bIns="44450">
                            <a:spAutoFit/>
                          </a:bodyP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pPr algn="r"/>
                            <a:r>
                              <a:rPr lang="en-US" sz="2800" dirty="0"/>
                              <a:t>Acceptable </a:t>
                            </a:r>
                          </a:p>
                        </a:txBody>
                        <a:useSpRect/>
                      </a:txSp>
                    </a:sp>
                    <a:sp>
                      <a:nvSpPr>
                        <a:cNvPr id="33806" name="Rectangle 13"/>
                        <a:cNvSpPr>
                          <a:spLocks noChangeArrowheads="1"/>
                        </a:cNvSpPr>
                      </a:nvSpPr>
                      <a:spPr bwMode="auto">
                        <a:xfrm>
                          <a:off x="1498" y="1202"/>
                          <a:ext cx="1396" cy="328"/>
                        </a:xfrm>
                        <a:prstGeom prst="rect">
                          <a:avLst/>
                        </a:prstGeom>
                        <a:noFill/>
                        <a:ln w="9525">
                          <a:noFill/>
                          <a:miter lim="800000"/>
                          <a:headEnd/>
                          <a:tailEnd/>
                        </a:ln>
                      </a:spPr>
                      <a:txSp>
                        <a:txBody>
                          <a:bodyPr lIns="90488" tIns="44450" rIns="90488" bIns="44450">
                            <a:spAutoFit/>
                          </a:bodyP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r>
                              <a:rPr lang="en-US" sz="2800" dirty="0"/>
                              <a:t>Unacceptable</a:t>
                            </a:r>
                          </a:p>
                        </a:txBody>
                        <a:useSpRect/>
                      </a:txSp>
                    </a:sp>
                    <a:sp>
                      <a:nvSpPr>
                        <a:cNvPr id="33807" name="Rectangle 14"/>
                        <a:cNvSpPr>
                          <a:spLocks noChangeArrowheads="1"/>
                        </a:cNvSpPr>
                      </a:nvSpPr>
                      <a:spPr bwMode="auto">
                        <a:xfrm rot="-5400000">
                          <a:off x="1056" y="1622"/>
                          <a:ext cx="727" cy="328"/>
                        </a:xfrm>
                        <a:prstGeom prst="rect">
                          <a:avLst/>
                        </a:prstGeom>
                        <a:noFill/>
                        <a:ln w="9525">
                          <a:noFill/>
                          <a:miter lim="800000"/>
                          <a:headEnd/>
                          <a:tailEnd/>
                        </a:ln>
                      </a:spPr>
                      <a:txSp>
                        <a:txBody>
                          <a:bodyPr lIns="90488" tIns="44450" rIns="90488" bIns="44450">
                            <a:spAutoFit/>
                          </a:bodyP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pPr algn="r"/>
                            <a:r>
                              <a:rPr lang="en-US" sz="2800"/>
                              <a:t>Stable</a:t>
                            </a:r>
                          </a:p>
                        </a:txBody>
                        <a:useSpRect/>
                      </a:txSp>
                    </a:sp>
                    <a:sp>
                      <a:nvSpPr>
                        <a:cNvPr id="33808" name="Rectangle 15"/>
                        <a:cNvSpPr>
                          <a:spLocks noChangeArrowheads="1"/>
                        </a:cNvSpPr>
                      </a:nvSpPr>
                      <a:spPr bwMode="auto">
                        <a:xfrm rot="-5400000">
                          <a:off x="923" y="3350"/>
                          <a:ext cx="1001" cy="328"/>
                        </a:xfrm>
                        <a:prstGeom prst="rect">
                          <a:avLst/>
                        </a:prstGeom>
                        <a:noFill/>
                        <a:ln w="9525">
                          <a:noFill/>
                          <a:miter lim="800000"/>
                          <a:headEnd/>
                          <a:tailEnd/>
                        </a:ln>
                      </a:spPr>
                      <a:txSp>
                        <a:txBody>
                          <a:bodyPr lIns="90488" tIns="44450" rIns="90488" bIns="44450">
                            <a:spAutoFit/>
                          </a:bodyPr>
                          <a:lstStyle>
                            <a:defPPr>
                              <a:defRPr lang="en-US"/>
                            </a:defPPr>
                            <a:lvl1pPr algn="l" rtl="0" eaLnBrk="0" fontAlgn="base" hangingPunct="0">
                              <a:spcBef>
                                <a:spcPct val="0"/>
                              </a:spcBef>
                              <a:spcAft>
                                <a:spcPct val="0"/>
                              </a:spcAft>
                              <a:defRPr sz="3800" i="1"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3800" i="1"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3800" i="1"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3800" i="1"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3800" i="1" kern="1200">
                                <a:solidFill>
                                  <a:schemeClr val="tx1"/>
                                </a:solidFill>
                                <a:latin typeface="Times New Roman" pitchFamily="18" charset="0"/>
                                <a:ea typeface="+mn-ea"/>
                                <a:cs typeface="+mn-cs"/>
                              </a:defRPr>
                            </a:lvl5pPr>
                            <a:lvl6pPr marL="2286000" algn="l" defTabSz="914400" rtl="0" eaLnBrk="1" latinLnBrk="0" hangingPunct="1">
                              <a:defRPr sz="3800" i="1" kern="1200">
                                <a:solidFill>
                                  <a:schemeClr val="tx1"/>
                                </a:solidFill>
                                <a:latin typeface="Times New Roman" pitchFamily="18" charset="0"/>
                                <a:ea typeface="+mn-ea"/>
                                <a:cs typeface="+mn-cs"/>
                              </a:defRPr>
                            </a:lvl6pPr>
                            <a:lvl7pPr marL="2743200" algn="l" defTabSz="914400" rtl="0" eaLnBrk="1" latinLnBrk="0" hangingPunct="1">
                              <a:defRPr sz="3800" i="1" kern="1200">
                                <a:solidFill>
                                  <a:schemeClr val="tx1"/>
                                </a:solidFill>
                                <a:latin typeface="Times New Roman" pitchFamily="18" charset="0"/>
                                <a:ea typeface="+mn-ea"/>
                                <a:cs typeface="+mn-cs"/>
                              </a:defRPr>
                            </a:lvl7pPr>
                            <a:lvl8pPr marL="3200400" algn="l" defTabSz="914400" rtl="0" eaLnBrk="1" latinLnBrk="0" hangingPunct="1">
                              <a:defRPr sz="3800" i="1" kern="1200">
                                <a:solidFill>
                                  <a:schemeClr val="tx1"/>
                                </a:solidFill>
                                <a:latin typeface="Times New Roman" pitchFamily="18" charset="0"/>
                                <a:ea typeface="+mn-ea"/>
                                <a:cs typeface="+mn-cs"/>
                              </a:defRPr>
                            </a:lvl8pPr>
                            <a:lvl9pPr marL="3657600" algn="l" defTabSz="914400" rtl="0" eaLnBrk="1" latinLnBrk="0" hangingPunct="1">
                              <a:defRPr sz="3800" i="1" kern="1200">
                                <a:solidFill>
                                  <a:schemeClr val="tx1"/>
                                </a:solidFill>
                                <a:latin typeface="Times New Roman" pitchFamily="18" charset="0"/>
                                <a:ea typeface="+mn-ea"/>
                                <a:cs typeface="+mn-cs"/>
                              </a:defRPr>
                            </a:lvl9pPr>
                          </a:lstStyle>
                          <a:p>
                            <a:r>
                              <a:rPr lang="en-US" sz="2800"/>
                              <a:t> Unstable</a:t>
                            </a:r>
                          </a:p>
                        </a:txBody>
                        <a:useSpRect/>
                      </a:txSp>
                    </a:sp>
                  </a:grpSp>
                  <a:sp>
                    <a:nvSpPr>
                      <a:cNvPr id="33795" name="Rectangle 16"/>
                      <a:cNvSpPr>
                        <a:spLocks noGrp="1" noChangeArrowheads="1"/>
                      </a:cNvSpPr>
                    </a:nvSpPr>
                    <a:spPr bwMode="auto">
                      <a:xfrm>
                        <a:off x="0" y="304800"/>
                        <a:ext cx="9144000" cy="1143000"/>
                      </a:xfrm>
                      <a:prstGeom prst="rect">
                        <a:avLst/>
                      </a:prstGeom>
                      <a:noFill/>
                      <a:ln w="9525">
                        <a:noFill/>
                        <a:miter lim="800000"/>
                        <a:headEnd/>
                        <a:tailEnd/>
                      </a:ln>
                    </a:spPr>
                    <a:txSp>
                      <a:txBody>
                        <a:bodyPr vert="horz" wrap="square" lIns="91440" tIns="45720" rIns="91440" bIns="45720" numCol="1" anchor="ctr" anchorCtr="0" compatLnSpc="1">
                          <a:prstTxWarp prst="textNoShape">
                            <a:avLst/>
                          </a:prstTxWarp>
                        </a:bodyPr>
                        <a:lstStyle>
                          <a:lvl1pPr algn="ctr" rtl="0" eaLnBrk="0" fontAlgn="base" hangingPunct="0">
                            <a:spcBef>
                              <a:spcPct val="0"/>
                            </a:spcBef>
                            <a:spcAft>
                              <a:spcPct val="0"/>
                            </a:spcAft>
                            <a:defRPr sz="4400" kern="1200">
                              <a:solidFill>
                                <a:schemeClr val="tx1"/>
                              </a:solidFill>
                              <a:latin typeface="+mj-lt"/>
                              <a:ea typeface="+mj-ea"/>
                              <a:cs typeface="+mj-cs"/>
                            </a:defRPr>
                          </a:lvl1pPr>
                          <a:lvl2pPr algn="ctr" rtl="0" eaLnBrk="0" fontAlgn="base" hangingPunct="0">
                            <a:spcBef>
                              <a:spcPct val="0"/>
                            </a:spcBef>
                            <a:spcAft>
                              <a:spcPct val="0"/>
                            </a:spcAft>
                            <a:defRPr sz="4400">
                              <a:solidFill>
                                <a:schemeClr val="tx1"/>
                              </a:solidFill>
                              <a:latin typeface="Arial" charset="0"/>
                            </a:defRPr>
                          </a:lvl2pPr>
                          <a:lvl3pPr algn="ctr" rtl="0" eaLnBrk="0" fontAlgn="base" hangingPunct="0">
                            <a:spcBef>
                              <a:spcPct val="0"/>
                            </a:spcBef>
                            <a:spcAft>
                              <a:spcPct val="0"/>
                            </a:spcAft>
                            <a:defRPr sz="4400">
                              <a:solidFill>
                                <a:schemeClr val="tx1"/>
                              </a:solidFill>
                              <a:latin typeface="Arial" charset="0"/>
                            </a:defRPr>
                          </a:lvl3pPr>
                          <a:lvl4pPr algn="ctr" rtl="0" eaLnBrk="0" fontAlgn="base" hangingPunct="0">
                            <a:spcBef>
                              <a:spcPct val="0"/>
                            </a:spcBef>
                            <a:spcAft>
                              <a:spcPct val="0"/>
                            </a:spcAft>
                            <a:defRPr sz="4400">
                              <a:solidFill>
                                <a:schemeClr val="tx1"/>
                              </a:solidFill>
                              <a:latin typeface="Arial" charset="0"/>
                            </a:defRPr>
                          </a:lvl4pPr>
                          <a:lvl5pPr algn="ctr" rtl="0" eaLnBrk="0" fontAlgn="base" hangingPunct="0">
                            <a:spcBef>
                              <a:spcPct val="0"/>
                            </a:spcBef>
                            <a:spcAft>
                              <a:spcPct val="0"/>
                            </a:spcAft>
                            <a:defRPr sz="4400">
                              <a:solidFill>
                                <a:schemeClr val="tx1"/>
                              </a:solidFill>
                              <a:latin typeface="Arial" charset="0"/>
                            </a:defRPr>
                          </a:lvl5pPr>
                          <a:lvl6pPr marL="457200" algn="ctr" rtl="0" fontAlgn="base">
                            <a:spcBef>
                              <a:spcPct val="0"/>
                            </a:spcBef>
                            <a:spcAft>
                              <a:spcPct val="0"/>
                            </a:spcAft>
                            <a:defRPr sz="4400">
                              <a:solidFill>
                                <a:schemeClr val="tx1"/>
                              </a:solidFill>
                              <a:latin typeface="Arial" charset="0"/>
                            </a:defRPr>
                          </a:lvl6pPr>
                          <a:lvl7pPr marL="914400" algn="ctr" rtl="0" fontAlgn="base">
                            <a:spcBef>
                              <a:spcPct val="0"/>
                            </a:spcBef>
                            <a:spcAft>
                              <a:spcPct val="0"/>
                            </a:spcAft>
                            <a:defRPr sz="4400">
                              <a:solidFill>
                                <a:schemeClr val="tx1"/>
                              </a:solidFill>
                              <a:latin typeface="Arial" charset="0"/>
                            </a:defRPr>
                          </a:lvl7pPr>
                          <a:lvl8pPr marL="1371600" algn="ctr" rtl="0" fontAlgn="base">
                            <a:spcBef>
                              <a:spcPct val="0"/>
                            </a:spcBef>
                            <a:spcAft>
                              <a:spcPct val="0"/>
                            </a:spcAft>
                            <a:defRPr sz="4400">
                              <a:solidFill>
                                <a:schemeClr val="tx1"/>
                              </a:solidFill>
                              <a:latin typeface="Arial" charset="0"/>
                            </a:defRPr>
                          </a:lvl8pPr>
                          <a:lvl9pPr marL="1828800" algn="ctr" rtl="0" fontAlgn="base">
                            <a:spcBef>
                              <a:spcPct val="0"/>
                            </a:spcBef>
                            <a:spcAft>
                              <a:spcPct val="0"/>
                            </a:spcAft>
                            <a:defRPr sz="4400">
                              <a:solidFill>
                                <a:schemeClr val="tx1"/>
                              </a:solidFill>
                              <a:latin typeface="Arial" charset="0"/>
                            </a:defRPr>
                          </a:lvl9pPr>
                        </a:lstStyle>
                        <a:p>
                          <a:r>
                            <a:rPr lang="en-US" sz="3200" dirty="0" smtClean="0"/>
                            <a:t>The Foreign Investment Risk Matrix (FIRM)</a:t>
                          </a:r>
                        </a:p>
                      </a:txBody>
                      <a:useSpRect/>
                    </a:txSp>
                  </a:sp>
                </lc:lockedCanvas>
              </a:graphicData>
            </a:graphic>
          </wp:inline>
        </w:drawing>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The matrix measures financial (or economic) risk on one axis and political risk on the other axis.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Each country can be positioned on the matrix based on its political and financial ratings.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The Foreign Investment Risk Matrix (FIRM)</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Actual Country Risk Ratings Across Countries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Some countries are rated higher according to some risk factors, but lower according to others.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On the whole, industrialized countries tend to be rated highly, while emerging countries tend to have lower risk ratings.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 xml:space="preserve">Country risk ratings change over time in response to changes in the risk factors. </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Incorporating Country Risk in Capital Budgeting</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If the risk rating of a country is in the acceptable zone, the projects related to that country deserve further consideration.</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 xml:space="preserve">Country risk can be incorporated into the capital budgeting analysis of a project </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by adjusting the discount rate, or</w:t>
      </w:r>
    </w:p>
    <w:p w:rsidR="00571D73" w:rsidRPr="00AD5678" w:rsidRDefault="0098174B" w:rsidP="00AD5678">
      <w:pPr>
        <w:numPr>
          <w:ilvl w:val="1"/>
          <w:numId w:val="1"/>
        </w:numPr>
        <w:jc w:val="both"/>
        <w:rPr>
          <w:rFonts w:ascii="Times New Roman" w:hAnsi="Times New Roman" w:cs="Times New Roman"/>
          <w:sz w:val="24"/>
          <w:szCs w:val="24"/>
        </w:rPr>
      </w:pPr>
      <w:proofErr w:type="gramStart"/>
      <w:r w:rsidRPr="00AD5678">
        <w:rPr>
          <w:rFonts w:ascii="Times New Roman" w:hAnsi="Times New Roman" w:cs="Times New Roman"/>
          <w:sz w:val="24"/>
          <w:szCs w:val="24"/>
        </w:rPr>
        <w:t>by</w:t>
      </w:r>
      <w:proofErr w:type="gramEnd"/>
      <w:r w:rsidRPr="00AD5678">
        <w:rPr>
          <w:rFonts w:ascii="Times New Roman" w:hAnsi="Times New Roman" w:cs="Times New Roman"/>
          <w:sz w:val="24"/>
          <w:szCs w:val="24"/>
        </w:rPr>
        <w:t xml:space="preserve"> adjusting the estimated cash flows.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Adjustment of the Discount Rate</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The higher the perceived risk, the higher the discount rate that should be applied to the project’s cash flows.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Adjustment of the Estimated Cash Flows</w:t>
      </w:r>
    </w:p>
    <w:p w:rsidR="00571D73" w:rsidRPr="00AD5678" w:rsidRDefault="0098174B" w:rsidP="00AD5678">
      <w:pPr>
        <w:numPr>
          <w:ilvl w:val="1"/>
          <w:numId w:val="1"/>
        </w:numPr>
        <w:jc w:val="both"/>
        <w:rPr>
          <w:rFonts w:ascii="Times New Roman" w:hAnsi="Times New Roman" w:cs="Times New Roman"/>
          <w:sz w:val="24"/>
          <w:szCs w:val="24"/>
        </w:rPr>
      </w:pPr>
      <w:r w:rsidRPr="00AD5678">
        <w:rPr>
          <w:rFonts w:ascii="Times New Roman" w:hAnsi="Times New Roman" w:cs="Times New Roman"/>
          <w:sz w:val="24"/>
          <w:szCs w:val="24"/>
        </w:rPr>
        <w:t>By estimating how the cash flows could be affected by each form of risk, the MNC can determine the probability distribution of the net present value of the project.</w:t>
      </w:r>
    </w:p>
    <w:p w:rsidR="00571D73" w:rsidRPr="00AD5678" w:rsidRDefault="00AD5678" w:rsidP="00AD5678">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Applications of </w:t>
      </w:r>
      <w:r w:rsidR="0098174B" w:rsidRPr="00AD5678">
        <w:rPr>
          <w:rFonts w:ascii="Times New Roman" w:hAnsi="Times New Roman" w:cs="Times New Roman"/>
          <w:sz w:val="24"/>
          <w:szCs w:val="24"/>
        </w:rPr>
        <w:t>Country Risk Analysis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Alerted by its risk assessor, Gulf Oil planned to deal with the loss of Iranian oil, and was able to avoid major losses when the Shah of Iran fell four months later.</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However, while the risk assessment of a country can be useful, it cannot always detect upcoming crises.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 xml:space="preserve">Iraq’s invasion of Kuwait was difficult to forecast, for example. Nevertheless, many MNCs promptly reassessed their exposure to country risk and revised their operations. </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 xml:space="preserve">The 1997-98 Asian </w:t>
      </w:r>
      <w:proofErr w:type="gramStart"/>
      <w:r w:rsidRPr="00AD5678">
        <w:rPr>
          <w:rFonts w:ascii="Times New Roman" w:hAnsi="Times New Roman" w:cs="Times New Roman"/>
          <w:sz w:val="24"/>
          <w:szCs w:val="24"/>
        </w:rPr>
        <w:t>crisis</w:t>
      </w:r>
      <w:proofErr w:type="gramEnd"/>
      <w:r w:rsidRPr="00AD5678">
        <w:rPr>
          <w:rFonts w:ascii="Times New Roman" w:hAnsi="Times New Roman" w:cs="Times New Roman"/>
          <w:sz w:val="24"/>
          <w:szCs w:val="24"/>
        </w:rPr>
        <w:t xml:space="preserve"> also showed that MNCs had underestimated the potential financial problems that could occur in the high-growth Asian countries. </w:t>
      </w:r>
    </w:p>
    <w:p w:rsidR="00571D73" w:rsidRPr="00AD5678" w:rsidRDefault="00AD5678" w:rsidP="00AD5678">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Reducing Exposure </w:t>
      </w:r>
      <w:r w:rsidR="0098174B" w:rsidRPr="00AD5678">
        <w:rPr>
          <w:rFonts w:ascii="Times New Roman" w:hAnsi="Times New Roman" w:cs="Times New Roman"/>
          <w:sz w:val="24"/>
          <w:szCs w:val="24"/>
        </w:rPr>
        <w:t>to Host Government Takeovers</w:t>
      </w:r>
    </w:p>
    <w:p w:rsidR="00571D73" w:rsidRPr="00AD5678" w:rsidRDefault="0098174B" w:rsidP="00AD5678">
      <w:pPr>
        <w:numPr>
          <w:ilvl w:val="0"/>
          <w:numId w:val="1"/>
        </w:numPr>
        <w:jc w:val="both"/>
        <w:rPr>
          <w:rFonts w:ascii="Times New Roman" w:hAnsi="Times New Roman" w:cs="Times New Roman"/>
          <w:sz w:val="24"/>
          <w:szCs w:val="24"/>
        </w:rPr>
      </w:pPr>
      <w:r w:rsidRPr="00AD5678">
        <w:rPr>
          <w:rFonts w:ascii="Times New Roman" w:hAnsi="Times New Roman" w:cs="Times New Roman"/>
          <w:sz w:val="24"/>
          <w:szCs w:val="24"/>
        </w:rPr>
        <w:t>The benefits of DFI can be offset by country risk, the most severe of which is a host government takeover.</w:t>
      </w:r>
    </w:p>
    <w:p w:rsidR="00571D73" w:rsidRPr="00AD5678" w:rsidRDefault="0098174B" w:rsidP="00AD5678">
      <w:pPr>
        <w:jc w:val="both"/>
        <w:rPr>
          <w:rFonts w:ascii="Times New Roman" w:hAnsi="Times New Roman" w:cs="Times New Roman"/>
          <w:sz w:val="24"/>
          <w:szCs w:val="24"/>
        </w:rPr>
      </w:pPr>
      <w:r w:rsidRPr="00AD5678">
        <w:rPr>
          <w:rFonts w:ascii="Times New Roman" w:hAnsi="Times New Roman" w:cs="Times New Roman"/>
          <w:sz w:val="24"/>
          <w:szCs w:val="24"/>
        </w:rPr>
        <w:t>To reduce the chance of a takeover by the host government, firms often use the following strategies:</w:t>
      </w:r>
    </w:p>
    <w:p w:rsidR="00571D73" w:rsidRPr="00AD5678" w:rsidRDefault="0098174B" w:rsidP="00AD5678">
      <w:pPr>
        <w:numPr>
          <w:ilvl w:val="0"/>
          <w:numId w:val="2"/>
        </w:numPr>
        <w:jc w:val="both"/>
        <w:rPr>
          <w:rFonts w:ascii="Times New Roman" w:hAnsi="Times New Roman" w:cs="Times New Roman"/>
          <w:sz w:val="24"/>
          <w:szCs w:val="24"/>
        </w:rPr>
      </w:pPr>
      <w:r w:rsidRPr="00AD5678">
        <w:rPr>
          <w:rFonts w:ascii="Times New Roman" w:hAnsi="Times New Roman" w:cs="Times New Roman"/>
          <w:sz w:val="24"/>
          <w:szCs w:val="24"/>
        </w:rPr>
        <w:t>Use a Short-Term Horizon</w:t>
      </w:r>
    </w:p>
    <w:p w:rsidR="00571D73" w:rsidRPr="00AD5678" w:rsidRDefault="0098174B" w:rsidP="00AD5678">
      <w:pPr>
        <w:numPr>
          <w:ilvl w:val="1"/>
          <w:numId w:val="2"/>
        </w:numPr>
        <w:jc w:val="both"/>
        <w:rPr>
          <w:rFonts w:ascii="Times New Roman" w:hAnsi="Times New Roman" w:cs="Times New Roman"/>
          <w:sz w:val="24"/>
          <w:szCs w:val="24"/>
        </w:rPr>
      </w:pPr>
      <w:r w:rsidRPr="00AD5678">
        <w:rPr>
          <w:rFonts w:ascii="Times New Roman" w:hAnsi="Times New Roman" w:cs="Times New Roman"/>
          <w:sz w:val="24"/>
          <w:szCs w:val="24"/>
        </w:rPr>
        <w:t>This technique concentrates on recovering cash flow quickly.</w:t>
      </w:r>
    </w:p>
    <w:p w:rsidR="00571D73" w:rsidRPr="00AD5678" w:rsidRDefault="0098174B" w:rsidP="00AD5678">
      <w:pPr>
        <w:numPr>
          <w:ilvl w:val="0"/>
          <w:numId w:val="4"/>
        </w:numPr>
        <w:jc w:val="both"/>
        <w:rPr>
          <w:rFonts w:ascii="Times New Roman" w:hAnsi="Times New Roman" w:cs="Times New Roman"/>
          <w:sz w:val="24"/>
          <w:szCs w:val="24"/>
        </w:rPr>
      </w:pPr>
      <w:r w:rsidRPr="00AD5678">
        <w:rPr>
          <w:rFonts w:ascii="Times New Roman" w:hAnsi="Times New Roman" w:cs="Times New Roman"/>
          <w:sz w:val="24"/>
          <w:szCs w:val="24"/>
        </w:rPr>
        <w:t>Rely on Unique Supplies or Technology</w:t>
      </w:r>
    </w:p>
    <w:p w:rsidR="00571D73" w:rsidRPr="00AD5678" w:rsidRDefault="0098174B" w:rsidP="00AD5678">
      <w:pPr>
        <w:numPr>
          <w:ilvl w:val="1"/>
          <w:numId w:val="4"/>
        </w:numPr>
        <w:jc w:val="both"/>
        <w:rPr>
          <w:rFonts w:ascii="Times New Roman" w:hAnsi="Times New Roman" w:cs="Times New Roman"/>
          <w:sz w:val="24"/>
          <w:szCs w:val="24"/>
        </w:rPr>
      </w:pPr>
      <w:r w:rsidRPr="00AD5678">
        <w:rPr>
          <w:rFonts w:ascii="Times New Roman" w:hAnsi="Times New Roman" w:cs="Times New Roman"/>
          <w:sz w:val="24"/>
          <w:szCs w:val="24"/>
        </w:rPr>
        <w:t>In this way, the host government will not be able to take over and operate the subsidiary successfully.</w:t>
      </w:r>
    </w:p>
    <w:p w:rsidR="00571D73" w:rsidRPr="00AD5678" w:rsidRDefault="0098174B" w:rsidP="00AD5678">
      <w:pPr>
        <w:numPr>
          <w:ilvl w:val="0"/>
          <w:numId w:val="5"/>
        </w:numPr>
        <w:jc w:val="both"/>
        <w:rPr>
          <w:rFonts w:ascii="Times New Roman" w:hAnsi="Times New Roman" w:cs="Times New Roman"/>
          <w:sz w:val="24"/>
          <w:szCs w:val="24"/>
        </w:rPr>
      </w:pPr>
      <w:r w:rsidRPr="00AD5678">
        <w:rPr>
          <w:rFonts w:ascii="Times New Roman" w:hAnsi="Times New Roman" w:cs="Times New Roman"/>
          <w:sz w:val="24"/>
          <w:szCs w:val="24"/>
        </w:rPr>
        <w:t>Hire Local Labor</w:t>
      </w:r>
    </w:p>
    <w:p w:rsidR="00571D73" w:rsidRPr="00AD5678" w:rsidRDefault="0098174B" w:rsidP="00AD5678">
      <w:pPr>
        <w:numPr>
          <w:ilvl w:val="1"/>
          <w:numId w:val="5"/>
        </w:numPr>
        <w:jc w:val="both"/>
        <w:rPr>
          <w:rFonts w:ascii="Times New Roman" w:hAnsi="Times New Roman" w:cs="Times New Roman"/>
          <w:sz w:val="24"/>
          <w:szCs w:val="24"/>
        </w:rPr>
      </w:pPr>
      <w:r w:rsidRPr="00AD5678">
        <w:rPr>
          <w:rFonts w:ascii="Times New Roman" w:hAnsi="Times New Roman" w:cs="Times New Roman"/>
          <w:sz w:val="24"/>
          <w:szCs w:val="24"/>
        </w:rPr>
        <w:t>The local employees can apply pressure on their government.</w:t>
      </w:r>
    </w:p>
    <w:p w:rsidR="00571D73" w:rsidRPr="00AD5678" w:rsidRDefault="0098174B" w:rsidP="00AD5678">
      <w:pPr>
        <w:numPr>
          <w:ilvl w:val="0"/>
          <w:numId w:val="7"/>
        </w:numPr>
        <w:jc w:val="both"/>
        <w:rPr>
          <w:rFonts w:ascii="Times New Roman" w:hAnsi="Times New Roman" w:cs="Times New Roman"/>
          <w:sz w:val="24"/>
          <w:szCs w:val="24"/>
        </w:rPr>
      </w:pPr>
      <w:r w:rsidRPr="00AD5678">
        <w:rPr>
          <w:rFonts w:ascii="Times New Roman" w:hAnsi="Times New Roman" w:cs="Times New Roman"/>
          <w:sz w:val="24"/>
          <w:szCs w:val="24"/>
        </w:rPr>
        <w:t>Borrow Local Funds</w:t>
      </w:r>
    </w:p>
    <w:p w:rsidR="00571D73" w:rsidRPr="00AD5678" w:rsidRDefault="0098174B" w:rsidP="00AD5678">
      <w:pPr>
        <w:numPr>
          <w:ilvl w:val="1"/>
          <w:numId w:val="7"/>
        </w:numPr>
        <w:jc w:val="both"/>
        <w:rPr>
          <w:rFonts w:ascii="Times New Roman" w:hAnsi="Times New Roman" w:cs="Times New Roman"/>
          <w:sz w:val="24"/>
          <w:szCs w:val="24"/>
        </w:rPr>
      </w:pPr>
      <w:r w:rsidRPr="00AD5678">
        <w:rPr>
          <w:rFonts w:ascii="Times New Roman" w:hAnsi="Times New Roman" w:cs="Times New Roman"/>
          <w:sz w:val="24"/>
          <w:szCs w:val="24"/>
        </w:rPr>
        <w:t>The local banks can apply pressure on their government.</w:t>
      </w:r>
    </w:p>
    <w:p w:rsidR="00571D73" w:rsidRPr="00AD5678" w:rsidRDefault="0098174B" w:rsidP="00AD5678">
      <w:pPr>
        <w:numPr>
          <w:ilvl w:val="0"/>
          <w:numId w:val="8"/>
        </w:numPr>
        <w:jc w:val="both"/>
        <w:rPr>
          <w:rFonts w:ascii="Times New Roman" w:hAnsi="Times New Roman" w:cs="Times New Roman"/>
          <w:sz w:val="24"/>
          <w:szCs w:val="24"/>
        </w:rPr>
      </w:pPr>
      <w:r w:rsidRPr="00AD5678">
        <w:rPr>
          <w:rFonts w:ascii="Times New Roman" w:hAnsi="Times New Roman" w:cs="Times New Roman"/>
          <w:sz w:val="24"/>
          <w:szCs w:val="24"/>
        </w:rPr>
        <w:t>Purchase Insurance</w:t>
      </w:r>
    </w:p>
    <w:p w:rsidR="0098174B" w:rsidRPr="00AD5678" w:rsidRDefault="0098174B" w:rsidP="00AD5678">
      <w:pPr>
        <w:numPr>
          <w:ilvl w:val="1"/>
          <w:numId w:val="8"/>
        </w:numPr>
        <w:jc w:val="both"/>
        <w:rPr>
          <w:rFonts w:ascii="Times New Roman" w:hAnsi="Times New Roman" w:cs="Times New Roman"/>
          <w:sz w:val="24"/>
          <w:szCs w:val="24"/>
        </w:rPr>
      </w:pPr>
      <w:r w:rsidRPr="00AD5678">
        <w:rPr>
          <w:rFonts w:ascii="Times New Roman" w:hAnsi="Times New Roman" w:cs="Times New Roman"/>
          <w:sz w:val="24"/>
          <w:szCs w:val="24"/>
        </w:rPr>
        <w:t>Investment guarantee programs offered by the home country, host country, or an international agency insure to some extent various forms of country risk.</w:t>
      </w:r>
    </w:p>
    <w:sectPr w:rsidR="0098174B" w:rsidRPr="00AD5678"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61B8E"/>
    <w:multiLevelType w:val="hybridMultilevel"/>
    <w:tmpl w:val="BE4E583C"/>
    <w:lvl w:ilvl="0" w:tplc="669E3EDE">
      <w:start w:val="1"/>
      <w:numFmt w:val="bullet"/>
      <w:lvlText w:val="•"/>
      <w:lvlJc w:val="left"/>
      <w:pPr>
        <w:tabs>
          <w:tab w:val="num" w:pos="720"/>
        </w:tabs>
        <w:ind w:left="720" w:hanging="360"/>
      </w:pPr>
      <w:rPr>
        <w:rFonts w:ascii="Arial" w:hAnsi="Arial" w:hint="default"/>
      </w:rPr>
    </w:lvl>
    <w:lvl w:ilvl="1" w:tplc="4710C6C4">
      <w:start w:val="1386"/>
      <w:numFmt w:val="bullet"/>
      <w:lvlText w:val="–"/>
      <w:lvlJc w:val="left"/>
      <w:pPr>
        <w:tabs>
          <w:tab w:val="num" w:pos="1440"/>
        </w:tabs>
        <w:ind w:left="1440" w:hanging="360"/>
      </w:pPr>
      <w:rPr>
        <w:rFonts w:ascii="Arial" w:hAnsi="Arial" w:hint="default"/>
      </w:rPr>
    </w:lvl>
    <w:lvl w:ilvl="2" w:tplc="C654239A" w:tentative="1">
      <w:start w:val="1"/>
      <w:numFmt w:val="bullet"/>
      <w:lvlText w:val="•"/>
      <w:lvlJc w:val="left"/>
      <w:pPr>
        <w:tabs>
          <w:tab w:val="num" w:pos="2160"/>
        </w:tabs>
        <w:ind w:left="2160" w:hanging="360"/>
      </w:pPr>
      <w:rPr>
        <w:rFonts w:ascii="Arial" w:hAnsi="Arial" w:hint="default"/>
      </w:rPr>
    </w:lvl>
    <w:lvl w:ilvl="3" w:tplc="528A02F8" w:tentative="1">
      <w:start w:val="1"/>
      <w:numFmt w:val="bullet"/>
      <w:lvlText w:val="•"/>
      <w:lvlJc w:val="left"/>
      <w:pPr>
        <w:tabs>
          <w:tab w:val="num" w:pos="2880"/>
        </w:tabs>
        <w:ind w:left="2880" w:hanging="360"/>
      </w:pPr>
      <w:rPr>
        <w:rFonts w:ascii="Arial" w:hAnsi="Arial" w:hint="default"/>
      </w:rPr>
    </w:lvl>
    <w:lvl w:ilvl="4" w:tplc="51C6AC6A" w:tentative="1">
      <w:start w:val="1"/>
      <w:numFmt w:val="bullet"/>
      <w:lvlText w:val="•"/>
      <w:lvlJc w:val="left"/>
      <w:pPr>
        <w:tabs>
          <w:tab w:val="num" w:pos="3600"/>
        </w:tabs>
        <w:ind w:left="3600" w:hanging="360"/>
      </w:pPr>
      <w:rPr>
        <w:rFonts w:ascii="Arial" w:hAnsi="Arial" w:hint="default"/>
      </w:rPr>
    </w:lvl>
    <w:lvl w:ilvl="5" w:tplc="0082BD7C" w:tentative="1">
      <w:start w:val="1"/>
      <w:numFmt w:val="bullet"/>
      <w:lvlText w:val="•"/>
      <w:lvlJc w:val="left"/>
      <w:pPr>
        <w:tabs>
          <w:tab w:val="num" w:pos="4320"/>
        </w:tabs>
        <w:ind w:left="4320" w:hanging="360"/>
      </w:pPr>
      <w:rPr>
        <w:rFonts w:ascii="Arial" w:hAnsi="Arial" w:hint="default"/>
      </w:rPr>
    </w:lvl>
    <w:lvl w:ilvl="6" w:tplc="D8480526" w:tentative="1">
      <w:start w:val="1"/>
      <w:numFmt w:val="bullet"/>
      <w:lvlText w:val="•"/>
      <w:lvlJc w:val="left"/>
      <w:pPr>
        <w:tabs>
          <w:tab w:val="num" w:pos="5040"/>
        </w:tabs>
        <w:ind w:left="5040" w:hanging="360"/>
      </w:pPr>
      <w:rPr>
        <w:rFonts w:ascii="Arial" w:hAnsi="Arial" w:hint="default"/>
      </w:rPr>
    </w:lvl>
    <w:lvl w:ilvl="7" w:tplc="EC1EF630" w:tentative="1">
      <w:start w:val="1"/>
      <w:numFmt w:val="bullet"/>
      <w:lvlText w:val="•"/>
      <w:lvlJc w:val="left"/>
      <w:pPr>
        <w:tabs>
          <w:tab w:val="num" w:pos="5760"/>
        </w:tabs>
        <w:ind w:left="5760" w:hanging="360"/>
      </w:pPr>
      <w:rPr>
        <w:rFonts w:ascii="Arial" w:hAnsi="Arial" w:hint="default"/>
      </w:rPr>
    </w:lvl>
    <w:lvl w:ilvl="8" w:tplc="494AFFB4" w:tentative="1">
      <w:start w:val="1"/>
      <w:numFmt w:val="bullet"/>
      <w:lvlText w:val="•"/>
      <w:lvlJc w:val="left"/>
      <w:pPr>
        <w:tabs>
          <w:tab w:val="num" w:pos="6480"/>
        </w:tabs>
        <w:ind w:left="6480" w:hanging="360"/>
      </w:pPr>
      <w:rPr>
        <w:rFonts w:ascii="Arial" w:hAnsi="Arial" w:hint="default"/>
      </w:rPr>
    </w:lvl>
  </w:abstractNum>
  <w:abstractNum w:abstractNumId="1">
    <w:nsid w:val="19063ED2"/>
    <w:multiLevelType w:val="hybridMultilevel"/>
    <w:tmpl w:val="A0320866"/>
    <w:lvl w:ilvl="0" w:tplc="70C0F520">
      <w:start w:val="1"/>
      <w:numFmt w:val="bullet"/>
      <w:lvlText w:val="•"/>
      <w:lvlJc w:val="left"/>
      <w:pPr>
        <w:tabs>
          <w:tab w:val="num" w:pos="720"/>
        </w:tabs>
        <w:ind w:left="720" w:hanging="360"/>
      </w:pPr>
      <w:rPr>
        <w:rFonts w:ascii="Arial" w:hAnsi="Arial" w:hint="default"/>
      </w:rPr>
    </w:lvl>
    <w:lvl w:ilvl="1" w:tplc="848A480C">
      <w:start w:val="1386"/>
      <w:numFmt w:val="bullet"/>
      <w:lvlText w:val="–"/>
      <w:lvlJc w:val="left"/>
      <w:pPr>
        <w:tabs>
          <w:tab w:val="num" w:pos="1440"/>
        </w:tabs>
        <w:ind w:left="1440" w:hanging="360"/>
      </w:pPr>
      <w:rPr>
        <w:rFonts w:ascii="Arial" w:hAnsi="Arial" w:hint="default"/>
      </w:rPr>
    </w:lvl>
    <w:lvl w:ilvl="2" w:tplc="7414A6FC" w:tentative="1">
      <w:start w:val="1"/>
      <w:numFmt w:val="bullet"/>
      <w:lvlText w:val="•"/>
      <w:lvlJc w:val="left"/>
      <w:pPr>
        <w:tabs>
          <w:tab w:val="num" w:pos="2160"/>
        </w:tabs>
        <w:ind w:left="2160" w:hanging="360"/>
      </w:pPr>
      <w:rPr>
        <w:rFonts w:ascii="Arial" w:hAnsi="Arial" w:hint="default"/>
      </w:rPr>
    </w:lvl>
    <w:lvl w:ilvl="3" w:tplc="8F9861EC" w:tentative="1">
      <w:start w:val="1"/>
      <w:numFmt w:val="bullet"/>
      <w:lvlText w:val="•"/>
      <w:lvlJc w:val="left"/>
      <w:pPr>
        <w:tabs>
          <w:tab w:val="num" w:pos="2880"/>
        </w:tabs>
        <w:ind w:left="2880" w:hanging="360"/>
      </w:pPr>
      <w:rPr>
        <w:rFonts w:ascii="Arial" w:hAnsi="Arial" w:hint="default"/>
      </w:rPr>
    </w:lvl>
    <w:lvl w:ilvl="4" w:tplc="301293E8" w:tentative="1">
      <w:start w:val="1"/>
      <w:numFmt w:val="bullet"/>
      <w:lvlText w:val="•"/>
      <w:lvlJc w:val="left"/>
      <w:pPr>
        <w:tabs>
          <w:tab w:val="num" w:pos="3600"/>
        </w:tabs>
        <w:ind w:left="3600" w:hanging="360"/>
      </w:pPr>
      <w:rPr>
        <w:rFonts w:ascii="Arial" w:hAnsi="Arial" w:hint="default"/>
      </w:rPr>
    </w:lvl>
    <w:lvl w:ilvl="5" w:tplc="AFC23794" w:tentative="1">
      <w:start w:val="1"/>
      <w:numFmt w:val="bullet"/>
      <w:lvlText w:val="•"/>
      <w:lvlJc w:val="left"/>
      <w:pPr>
        <w:tabs>
          <w:tab w:val="num" w:pos="4320"/>
        </w:tabs>
        <w:ind w:left="4320" w:hanging="360"/>
      </w:pPr>
      <w:rPr>
        <w:rFonts w:ascii="Arial" w:hAnsi="Arial" w:hint="default"/>
      </w:rPr>
    </w:lvl>
    <w:lvl w:ilvl="6" w:tplc="971CB864" w:tentative="1">
      <w:start w:val="1"/>
      <w:numFmt w:val="bullet"/>
      <w:lvlText w:val="•"/>
      <w:lvlJc w:val="left"/>
      <w:pPr>
        <w:tabs>
          <w:tab w:val="num" w:pos="5040"/>
        </w:tabs>
        <w:ind w:left="5040" w:hanging="360"/>
      </w:pPr>
      <w:rPr>
        <w:rFonts w:ascii="Arial" w:hAnsi="Arial" w:hint="default"/>
      </w:rPr>
    </w:lvl>
    <w:lvl w:ilvl="7" w:tplc="8A0085EC" w:tentative="1">
      <w:start w:val="1"/>
      <w:numFmt w:val="bullet"/>
      <w:lvlText w:val="•"/>
      <w:lvlJc w:val="left"/>
      <w:pPr>
        <w:tabs>
          <w:tab w:val="num" w:pos="5760"/>
        </w:tabs>
        <w:ind w:left="5760" w:hanging="360"/>
      </w:pPr>
      <w:rPr>
        <w:rFonts w:ascii="Arial" w:hAnsi="Arial" w:hint="default"/>
      </w:rPr>
    </w:lvl>
    <w:lvl w:ilvl="8" w:tplc="18F83CD4" w:tentative="1">
      <w:start w:val="1"/>
      <w:numFmt w:val="bullet"/>
      <w:lvlText w:val="•"/>
      <w:lvlJc w:val="left"/>
      <w:pPr>
        <w:tabs>
          <w:tab w:val="num" w:pos="6480"/>
        </w:tabs>
        <w:ind w:left="6480" w:hanging="360"/>
      </w:pPr>
      <w:rPr>
        <w:rFonts w:ascii="Arial" w:hAnsi="Arial" w:hint="default"/>
      </w:rPr>
    </w:lvl>
  </w:abstractNum>
  <w:abstractNum w:abstractNumId="2">
    <w:nsid w:val="227057BC"/>
    <w:multiLevelType w:val="hybridMultilevel"/>
    <w:tmpl w:val="2CB21A2E"/>
    <w:lvl w:ilvl="0" w:tplc="AF7495CE">
      <w:start w:val="1"/>
      <w:numFmt w:val="bullet"/>
      <w:lvlText w:val=""/>
      <w:lvlJc w:val="left"/>
      <w:pPr>
        <w:tabs>
          <w:tab w:val="num" w:pos="720"/>
        </w:tabs>
        <w:ind w:left="720" w:hanging="360"/>
      </w:pPr>
      <w:rPr>
        <w:rFonts w:ascii="Wingdings" w:hAnsi="Wingdings" w:hint="default"/>
      </w:rPr>
    </w:lvl>
    <w:lvl w:ilvl="1" w:tplc="AB1CCC60">
      <w:start w:val="1386"/>
      <w:numFmt w:val="bullet"/>
      <w:lvlText w:val="–"/>
      <w:lvlJc w:val="left"/>
      <w:pPr>
        <w:tabs>
          <w:tab w:val="num" w:pos="1440"/>
        </w:tabs>
        <w:ind w:left="1440" w:hanging="360"/>
      </w:pPr>
      <w:rPr>
        <w:rFonts w:ascii="Arial" w:hAnsi="Arial" w:hint="default"/>
      </w:rPr>
    </w:lvl>
    <w:lvl w:ilvl="2" w:tplc="37D2CF0A" w:tentative="1">
      <w:start w:val="1"/>
      <w:numFmt w:val="bullet"/>
      <w:lvlText w:val=""/>
      <w:lvlJc w:val="left"/>
      <w:pPr>
        <w:tabs>
          <w:tab w:val="num" w:pos="2160"/>
        </w:tabs>
        <w:ind w:left="2160" w:hanging="360"/>
      </w:pPr>
      <w:rPr>
        <w:rFonts w:ascii="Wingdings" w:hAnsi="Wingdings" w:hint="default"/>
      </w:rPr>
    </w:lvl>
    <w:lvl w:ilvl="3" w:tplc="68F29ACA" w:tentative="1">
      <w:start w:val="1"/>
      <w:numFmt w:val="bullet"/>
      <w:lvlText w:val=""/>
      <w:lvlJc w:val="left"/>
      <w:pPr>
        <w:tabs>
          <w:tab w:val="num" w:pos="2880"/>
        </w:tabs>
        <w:ind w:left="2880" w:hanging="360"/>
      </w:pPr>
      <w:rPr>
        <w:rFonts w:ascii="Wingdings" w:hAnsi="Wingdings" w:hint="default"/>
      </w:rPr>
    </w:lvl>
    <w:lvl w:ilvl="4" w:tplc="B4F48C30" w:tentative="1">
      <w:start w:val="1"/>
      <w:numFmt w:val="bullet"/>
      <w:lvlText w:val=""/>
      <w:lvlJc w:val="left"/>
      <w:pPr>
        <w:tabs>
          <w:tab w:val="num" w:pos="3600"/>
        </w:tabs>
        <w:ind w:left="3600" w:hanging="360"/>
      </w:pPr>
      <w:rPr>
        <w:rFonts w:ascii="Wingdings" w:hAnsi="Wingdings" w:hint="default"/>
      </w:rPr>
    </w:lvl>
    <w:lvl w:ilvl="5" w:tplc="AE36ED16" w:tentative="1">
      <w:start w:val="1"/>
      <w:numFmt w:val="bullet"/>
      <w:lvlText w:val=""/>
      <w:lvlJc w:val="left"/>
      <w:pPr>
        <w:tabs>
          <w:tab w:val="num" w:pos="4320"/>
        </w:tabs>
        <w:ind w:left="4320" w:hanging="360"/>
      </w:pPr>
      <w:rPr>
        <w:rFonts w:ascii="Wingdings" w:hAnsi="Wingdings" w:hint="default"/>
      </w:rPr>
    </w:lvl>
    <w:lvl w:ilvl="6" w:tplc="17F2FF9E" w:tentative="1">
      <w:start w:val="1"/>
      <w:numFmt w:val="bullet"/>
      <w:lvlText w:val=""/>
      <w:lvlJc w:val="left"/>
      <w:pPr>
        <w:tabs>
          <w:tab w:val="num" w:pos="5040"/>
        </w:tabs>
        <w:ind w:left="5040" w:hanging="360"/>
      </w:pPr>
      <w:rPr>
        <w:rFonts w:ascii="Wingdings" w:hAnsi="Wingdings" w:hint="default"/>
      </w:rPr>
    </w:lvl>
    <w:lvl w:ilvl="7" w:tplc="F1C489AA" w:tentative="1">
      <w:start w:val="1"/>
      <w:numFmt w:val="bullet"/>
      <w:lvlText w:val=""/>
      <w:lvlJc w:val="left"/>
      <w:pPr>
        <w:tabs>
          <w:tab w:val="num" w:pos="5760"/>
        </w:tabs>
        <w:ind w:left="5760" w:hanging="360"/>
      </w:pPr>
      <w:rPr>
        <w:rFonts w:ascii="Wingdings" w:hAnsi="Wingdings" w:hint="default"/>
      </w:rPr>
    </w:lvl>
    <w:lvl w:ilvl="8" w:tplc="C16273C0" w:tentative="1">
      <w:start w:val="1"/>
      <w:numFmt w:val="bullet"/>
      <w:lvlText w:val=""/>
      <w:lvlJc w:val="left"/>
      <w:pPr>
        <w:tabs>
          <w:tab w:val="num" w:pos="6480"/>
        </w:tabs>
        <w:ind w:left="6480" w:hanging="360"/>
      </w:pPr>
      <w:rPr>
        <w:rFonts w:ascii="Wingdings" w:hAnsi="Wingdings" w:hint="default"/>
      </w:rPr>
    </w:lvl>
  </w:abstractNum>
  <w:abstractNum w:abstractNumId="3">
    <w:nsid w:val="2EE01069"/>
    <w:multiLevelType w:val="hybridMultilevel"/>
    <w:tmpl w:val="6FE63F58"/>
    <w:lvl w:ilvl="0" w:tplc="8EC800D8">
      <w:start w:val="1"/>
      <w:numFmt w:val="bullet"/>
      <w:lvlText w:val=""/>
      <w:lvlJc w:val="left"/>
      <w:pPr>
        <w:tabs>
          <w:tab w:val="num" w:pos="720"/>
        </w:tabs>
        <w:ind w:left="720" w:hanging="360"/>
      </w:pPr>
      <w:rPr>
        <w:rFonts w:ascii="Wingdings" w:hAnsi="Wingdings" w:hint="default"/>
      </w:rPr>
    </w:lvl>
    <w:lvl w:ilvl="1" w:tplc="B778FEFC">
      <w:start w:val="1386"/>
      <w:numFmt w:val="bullet"/>
      <w:lvlText w:val="–"/>
      <w:lvlJc w:val="left"/>
      <w:pPr>
        <w:tabs>
          <w:tab w:val="num" w:pos="1440"/>
        </w:tabs>
        <w:ind w:left="1440" w:hanging="360"/>
      </w:pPr>
      <w:rPr>
        <w:rFonts w:ascii="Arial" w:hAnsi="Arial" w:hint="default"/>
      </w:rPr>
    </w:lvl>
    <w:lvl w:ilvl="2" w:tplc="C52CC834" w:tentative="1">
      <w:start w:val="1"/>
      <w:numFmt w:val="bullet"/>
      <w:lvlText w:val=""/>
      <w:lvlJc w:val="left"/>
      <w:pPr>
        <w:tabs>
          <w:tab w:val="num" w:pos="2160"/>
        </w:tabs>
        <w:ind w:left="2160" w:hanging="360"/>
      </w:pPr>
      <w:rPr>
        <w:rFonts w:ascii="Wingdings" w:hAnsi="Wingdings" w:hint="default"/>
      </w:rPr>
    </w:lvl>
    <w:lvl w:ilvl="3" w:tplc="ED184C9C" w:tentative="1">
      <w:start w:val="1"/>
      <w:numFmt w:val="bullet"/>
      <w:lvlText w:val=""/>
      <w:lvlJc w:val="left"/>
      <w:pPr>
        <w:tabs>
          <w:tab w:val="num" w:pos="2880"/>
        </w:tabs>
        <w:ind w:left="2880" w:hanging="360"/>
      </w:pPr>
      <w:rPr>
        <w:rFonts w:ascii="Wingdings" w:hAnsi="Wingdings" w:hint="default"/>
      </w:rPr>
    </w:lvl>
    <w:lvl w:ilvl="4" w:tplc="7D220DBE" w:tentative="1">
      <w:start w:val="1"/>
      <w:numFmt w:val="bullet"/>
      <w:lvlText w:val=""/>
      <w:lvlJc w:val="left"/>
      <w:pPr>
        <w:tabs>
          <w:tab w:val="num" w:pos="3600"/>
        </w:tabs>
        <w:ind w:left="3600" w:hanging="360"/>
      </w:pPr>
      <w:rPr>
        <w:rFonts w:ascii="Wingdings" w:hAnsi="Wingdings" w:hint="default"/>
      </w:rPr>
    </w:lvl>
    <w:lvl w:ilvl="5" w:tplc="86AE2BA6" w:tentative="1">
      <w:start w:val="1"/>
      <w:numFmt w:val="bullet"/>
      <w:lvlText w:val=""/>
      <w:lvlJc w:val="left"/>
      <w:pPr>
        <w:tabs>
          <w:tab w:val="num" w:pos="4320"/>
        </w:tabs>
        <w:ind w:left="4320" w:hanging="360"/>
      </w:pPr>
      <w:rPr>
        <w:rFonts w:ascii="Wingdings" w:hAnsi="Wingdings" w:hint="default"/>
      </w:rPr>
    </w:lvl>
    <w:lvl w:ilvl="6" w:tplc="E0F6D860" w:tentative="1">
      <w:start w:val="1"/>
      <w:numFmt w:val="bullet"/>
      <w:lvlText w:val=""/>
      <w:lvlJc w:val="left"/>
      <w:pPr>
        <w:tabs>
          <w:tab w:val="num" w:pos="5040"/>
        </w:tabs>
        <w:ind w:left="5040" w:hanging="360"/>
      </w:pPr>
      <w:rPr>
        <w:rFonts w:ascii="Wingdings" w:hAnsi="Wingdings" w:hint="default"/>
      </w:rPr>
    </w:lvl>
    <w:lvl w:ilvl="7" w:tplc="6AA80CA2" w:tentative="1">
      <w:start w:val="1"/>
      <w:numFmt w:val="bullet"/>
      <w:lvlText w:val=""/>
      <w:lvlJc w:val="left"/>
      <w:pPr>
        <w:tabs>
          <w:tab w:val="num" w:pos="5760"/>
        </w:tabs>
        <w:ind w:left="5760" w:hanging="360"/>
      </w:pPr>
      <w:rPr>
        <w:rFonts w:ascii="Wingdings" w:hAnsi="Wingdings" w:hint="default"/>
      </w:rPr>
    </w:lvl>
    <w:lvl w:ilvl="8" w:tplc="2788F930" w:tentative="1">
      <w:start w:val="1"/>
      <w:numFmt w:val="bullet"/>
      <w:lvlText w:val=""/>
      <w:lvlJc w:val="left"/>
      <w:pPr>
        <w:tabs>
          <w:tab w:val="num" w:pos="6480"/>
        </w:tabs>
        <w:ind w:left="6480" w:hanging="360"/>
      </w:pPr>
      <w:rPr>
        <w:rFonts w:ascii="Wingdings" w:hAnsi="Wingdings" w:hint="default"/>
      </w:rPr>
    </w:lvl>
  </w:abstractNum>
  <w:abstractNum w:abstractNumId="4">
    <w:nsid w:val="30AD126D"/>
    <w:multiLevelType w:val="hybridMultilevel"/>
    <w:tmpl w:val="13B6B542"/>
    <w:lvl w:ilvl="0" w:tplc="254E7574">
      <w:start w:val="1"/>
      <w:numFmt w:val="bullet"/>
      <w:lvlText w:val="•"/>
      <w:lvlJc w:val="left"/>
      <w:pPr>
        <w:tabs>
          <w:tab w:val="num" w:pos="720"/>
        </w:tabs>
        <w:ind w:left="720" w:hanging="360"/>
      </w:pPr>
      <w:rPr>
        <w:rFonts w:ascii="Arial" w:hAnsi="Arial" w:hint="default"/>
      </w:rPr>
    </w:lvl>
    <w:lvl w:ilvl="1" w:tplc="401242C0" w:tentative="1">
      <w:start w:val="1"/>
      <w:numFmt w:val="bullet"/>
      <w:lvlText w:val="•"/>
      <w:lvlJc w:val="left"/>
      <w:pPr>
        <w:tabs>
          <w:tab w:val="num" w:pos="1440"/>
        </w:tabs>
        <w:ind w:left="1440" w:hanging="360"/>
      </w:pPr>
      <w:rPr>
        <w:rFonts w:ascii="Arial" w:hAnsi="Arial" w:hint="default"/>
      </w:rPr>
    </w:lvl>
    <w:lvl w:ilvl="2" w:tplc="356E1BD2" w:tentative="1">
      <w:start w:val="1"/>
      <w:numFmt w:val="bullet"/>
      <w:lvlText w:val="•"/>
      <w:lvlJc w:val="left"/>
      <w:pPr>
        <w:tabs>
          <w:tab w:val="num" w:pos="2160"/>
        </w:tabs>
        <w:ind w:left="2160" w:hanging="360"/>
      </w:pPr>
      <w:rPr>
        <w:rFonts w:ascii="Arial" w:hAnsi="Arial" w:hint="default"/>
      </w:rPr>
    </w:lvl>
    <w:lvl w:ilvl="3" w:tplc="941A2924" w:tentative="1">
      <w:start w:val="1"/>
      <w:numFmt w:val="bullet"/>
      <w:lvlText w:val="•"/>
      <w:lvlJc w:val="left"/>
      <w:pPr>
        <w:tabs>
          <w:tab w:val="num" w:pos="2880"/>
        </w:tabs>
        <w:ind w:left="2880" w:hanging="360"/>
      </w:pPr>
      <w:rPr>
        <w:rFonts w:ascii="Arial" w:hAnsi="Arial" w:hint="default"/>
      </w:rPr>
    </w:lvl>
    <w:lvl w:ilvl="4" w:tplc="CC0A2A60" w:tentative="1">
      <w:start w:val="1"/>
      <w:numFmt w:val="bullet"/>
      <w:lvlText w:val="•"/>
      <w:lvlJc w:val="left"/>
      <w:pPr>
        <w:tabs>
          <w:tab w:val="num" w:pos="3600"/>
        </w:tabs>
        <w:ind w:left="3600" w:hanging="360"/>
      </w:pPr>
      <w:rPr>
        <w:rFonts w:ascii="Arial" w:hAnsi="Arial" w:hint="default"/>
      </w:rPr>
    </w:lvl>
    <w:lvl w:ilvl="5" w:tplc="FDD20F26" w:tentative="1">
      <w:start w:val="1"/>
      <w:numFmt w:val="bullet"/>
      <w:lvlText w:val="•"/>
      <w:lvlJc w:val="left"/>
      <w:pPr>
        <w:tabs>
          <w:tab w:val="num" w:pos="4320"/>
        </w:tabs>
        <w:ind w:left="4320" w:hanging="360"/>
      </w:pPr>
      <w:rPr>
        <w:rFonts w:ascii="Arial" w:hAnsi="Arial" w:hint="default"/>
      </w:rPr>
    </w:lvl>
    <w:lvl w:ilvl="6" w:tplc="A61024A4" w:tentative="1">
      <w:start w:val="1"/>
      <w:numFmt w:val="bullet"/>
      <w:lvlText w:val="•"/>
      <w:lvlJc w:val="left"/>
      <w:pPr>
        <w:tabs>
          <w:tab w:val="num" w:pos="5040"/>
        </w:tabs>
        <w:ind w:left="5040" w:hanging="360"/>
      </w:pPr>
      <w:rPr>
        <w:rFonts w:ascii="Arial" w:hAnsi="Arial" w:hint="default"/>
      </w:rPr>
    </w:lvl>
    <w:lvl w:ilvl="7" w:tplc="14AC4F76" w:tentative="1">
      <w:start w:val="1"/>
      <w:numFmt w:val="bullet"/>
      <w:lvlText w:val="•"/>
      <w:lvlJc w:val="left"/>
      <w:pPr>
        <w:tabs>
          <w:tab w:val="num" w:pos="5760"/>
        </w:tabs>
        <w:ind w:left="5760" w:hanging="360"/>
      </w:pPr>
      <w:rPr>
        <w:rFonts w:ascii="Arial" w:hAnsi="Arial" w:hint="default"/>
      </w:rPr>
    </w:lvl>
    <w:lvl w:ilvl="8" w:tplc="F7A4D480" w:tentative="1">
      <w:start w:val="1"/>
      <w:numFmt w:val="bullet"/>
      <w:lvlText w:val="•"/>
      <w:lvlJc w:val="left"/>
      <w:pPr>
        <w:tabs>
          <w:tab w:val="num" w:pos="6480"/>
        </w:tabs>
        <w:ind w:left="6480" w:hanging="360"/>
      </w:pPr>
      <w:rPr>
        <w:rFonts w:ascii="Arial" w:hAnsi="Arial" w:hint="default"/>
      </w:rPr>
    </w:lvl>
  </w:abstractNum>
  <w:abstractNum w:abstractNumId="5">
    <w:nsid w:val="42DB7C89"/>
    <w:multiLevelType w:val="hybridMultilevel"/>
    <w:tmpl w:val="C836487A"/>
    <w:lvl w:ilvl="0" w:tplc="C8E44B98">
      <w:start w:val="1"/>
      <w:numFmt w:val="bullet"/>
      <w:lvlText w:val=""/>
      <w:lvlJc w:val="left"/>
      <w:pPr>
        <w:tabs>
          <w:tab w:val="num" w:pos="720"/>
        </w:tabs>
        <w:ind w:left="720" w:hanging="360"/>
      </w:pPr>
      <w:rPr>
        <w:rFonts w:ascii="Wingdings" w:hAnsi="Wingdings" w:hint="default"/>
      </w:rPr>
    </w:lvl>
    <w:lvl w:ilvl="1" w:tplc="944CA7CA">
      <w:start w:val="1386"/>
      <w:numFmt w:val="bullet"/>
      <w:lvlText w:val="–"/>
      <w:lvlJc w:val="left"/>
      <w:pPr>
        <w:tabs>
          <w:tab w:val="num" w:pos="1440"/>
        </w:tabs>
        <w:ind w:left="1440" w:hanging="360"/>
      </w:pPr>
      <w:rPr>
        <w:rFonts w:ascii="Arial" w:hAnsi="Arial" w:hint="default"/>
      </w:rPr>
    </w:lvl>
    <w:lvl w:ilvl="2" w:tplc="90F81636" w:tentative="1">
      <w:start w:val="1"/>
      <w:numFmt w:val="bullet"/>
      <w:lvlText w:val=""/>
      <w:lvlJc w:val="left"/>
      <w:pPr>
        <w:tabs>
          <w:tab w:val="num" w:pos="2160"/>
        </w:tabs>
        <w:ind w:left="2160" w:hanging="360"/>
      </w:pPr>
      <w:rPr>
        <w:rFonts w:ascii="Wingdings" w:hAnsi="Wingdings" w:hint="default"/>
      </w:rPr>
    </w:lvl>
    <w:lvl w:ilvl="3" w:tplc="7BCCD5E8" w:tentative="1">
      <w:start w:val="1"/>
      <w:numFmt w:val="bullet"/>
      <w:lvlText w:val=""/>
      <w:lvlJc w:val="left"/>
      <w:pPr>
        <w:tabs>
          <w:tab w:val="num" w:pos="2880"/>
        </w:tabs>
        <w:ind w:left="2880" w:hanging="360"/>
      </w:pPr>
      <w:rPr>
        <w:rFonts w:ascii="Wingdings" w:hAnsi="Wingdings" w:hint="default"/>
      </w:rPr>
    </w:lvl>
    <w:lvl w:ilvl="4" w:tplc="AE6ABE48" w:tentative="1">
      <w:start w:val="1"/>
      <w:numFmt w:val="bullet"/>
      <w:lvlText w:val=""/>
      <w:lvlJc w:val="left"/>
      <w:pPr>
        <w:tabs>
          <w:tab w:val="num" w:pos="3600"/>
        </w:tabs>
        <w:ind w:left="3600" w:hanging="360"/>
      </w:pPr>
      <w:rPr>
        <w:rFonts w:ascii="Wingdings" w:hAnsi="Wingdings" w:hint="default"/>
      </w:rPr>
    </w:lvl>
    <w:lvl w:ilvl="5" w:tplc="6DACDB58" w:tentative="1">
      <w:start w:val="1"/>
      <w:numFmt w:val="bullet"/>
      <w:lvlText w:val=""/>
      <w:lvlJc w:val="left"/>
      <w:pPr>
        <w:tabs>
          <w:tab w:val="num" w:pos="4320"/>
        </w:tabs>
        <w:ind w:left="4320" w:hanging="360"/>
      </w:pPr>
      <w:rPr>
        <w:rFonts w:ascii="Wingdings" w:hAnsi="Wingdings" w:hint="default"/>
      </w:rPr>
    </w:lvl>
    <w:lvl w:ilvl="6" w:tplc="7512BBD0" w:tentative="1">
      <w:start w:val="1"/>
      <w:numFmt w:val="bullet"/>
      <w:lvlText w:val=""/>
      <w:lvlJc w:val="left"/>
      <w:pPr>
        <w:tabs>
          <w:tab w:val="num" w:pos="5040"/>
        </w:tabs>
        <w:ind w:left="5040" w:hanging="360"/>
      </w:pPr>
      <w:rPr>
        <w:rFonts w:ascii="Wingdings" w:hAnsi="Wingdings" w:hint="default"/>
      </w:rPr>
    </w:lvl>
    <w:lvl w:ilvl="7" w:tplc="BE84808E" w:tentative="1">
      <w:start w:val="1"/>
      <w:numFmt w:val="bullet"/>
      <w:lvlText w:val=""/>
      <w:lvlJc w:val="left"/>
      <w:pPr>
        <w:tabs>
          <w:tab w:val="num" w:pos="5760"/>
        </w:tabs>
        <w:ind w:left="5760" w:hanging="360"/>
      </w:pPr>
      <w:rPr>
        <w:rFonts w:ascii="Wingdings" w:hAnsi="Wingdings" w:hint="default"/>
      </w:rPr>
    </w:lvl>
    <w:lvl w:ilvl="8" w:tplc="34B0D358" w:tentative="1">
      <w:start w:val="1"/>
      <w:numFmt w:val="bullet"/>
      <w:lvlText w:val=""/>
      <w:lvlJc w:val="left"/>
      <w:pPr>
        <w:tabs>
          <w:tab w:val="num" w:pos="6480"/>
        </w:tabs>
        <w:ind w:left="6480" w:hanging="360"/>
      </w:pPr>
      <w:rPr>
        <w:rFonts w:ascii="Wingdings" w:hAnsi="Wingdings" w:hint="default"/>
      </w:rPr>
    </w:lvl>
  </w:abstractNum>
  <w:abstractNum w:abstractNumId="6">
    <w:nsid w:val="4A3F0A61"/>
    <w:multiLevelType w:val="hybridMultilevel"/>
    <w:tmpl w:val="D4FC41B4"/>
    <w:lvl w:ilvl="0" w:tplc="F73E9262">
      <w:start w:val="1"/>
      <w:numFmt w:val="bullet"/>
      <w:lvlText w:val="•"/>
      <w:lvlJc w:val="left"/>
      <w:pPr>
        <w:tabs>
          <w:tab w:val="num" w:pos="720"/>
        </w:tabs>
        <w:ind w:left="720" w:hanging="360"/>
      </w:pPr>
      <w:rPr>
        <w:rFonts w:ascii="Arial" w:hAnsi="Arial" w:hint="default"/>
      </w:rPr>
    </w:lvl>
    <w:lvl w:ilvl="1" w:tplc="2A600092" w:tentative="1">
      <w:start w:val="1"/>
      <w:numFmt w:val="bullet"/>
      <w:lvlText w:val="•"/>
      <w:lvlJc w:val="left"/>
      <w:pPr>
        <w:tabs>
          <w:tab w:val="num" w:pos="1440"/>
        </w:tabs>
        <w:ind w:left="1440" w:hanging="360"/>
      </w:pPr>
      <w:rPr>
        <w:rFonts w:ascii="Arial" w:hAnsi="Arial" w:hint="default"/>
      </w:rPr>
    </w:lvl>
    <w:lvl w:ilvl="2" w:tplc="1A64B1DE" w:tentative="1">
      <w:start w:val="1"/>
      <w:numFmt w:val="bullet"/>
      <w:lvlText w:val="•"/>
      <w:lvlJc w:val="left"/>
      <w:pPr>
        <w:tabs>
          <w:tab w:val="num" w:pos="2160"/>
        </w:tabs>
        <w:ind w:left="2160" w:hanging="360"/>
      </w:pPr>
      <w:rPr>
        <w:rFonts w:ascii="Arial" w:hAnsi="Arial" w:hint="default"/>
      </w:rPr>
    </w:lvl>
    <w:lvl w:ilvl="3" w:tplc="3E62C4F2" w:tentative="1">
      <w:start w:val="1"/>
      <w:numFmt w:val="bullet"/>
      <w:lvlText w:val="•"/>
      <w:lvlJc w:val="left"/>
      <w:pPr>
        <w:tabs>
          <w:tab w:val="num" w:pos="2880"/>
        </w:tabs>
        <w:ind w:left="2880" w:hanging="360"/>
      </w:pPr>
      <w:rPr>
        <w:rFonts w:ascii="Arial" w:hAnsi="Arial" w:hint="default"/>
      </w:rPr>
    </w:lvl>
    <w:lvl w:ilvl="4" w:tplc="FB409264" w:tentative="1">
      <w:start w:val="1"/>
      <w:numFmt w:val="bullet"/>
      <w:lvlText w:val="•"/>
      <w:lvlJc w:val="left"/>
      <w:pPr>
        <w:tabs>
          <w:tab w:val="num" w:pos="3600"/>
        </w:tabs>
        <w:ind w:left="3600" w:hanging="360"/>
      </w:pPr>
      <w:rPr>
        <w:rFonts w:ascii="Arial" w:hAnsi="Arial" w:hint="default"/>
      </w:rPr>
    </w:lvl>
    <w:lvl w:ilvl="5" w:tplc="9FFE7D10" w:tentative="1">
      <w:start w:val="1"/>
      <w:numFmt w:val="bullet"/>
      <w:lvlText w:val="•"/>
      <w:lvlJc w:val="left"/>
      <w:pPr>
        <w:tabs>
          <w:tab w:val="num" w:pos="4320"/>
        </w:tabs>
        <w:ind w:left="4320" w:hanging="360"/>
      </w:pPr>
      <w:rPr>
        <w:rFonts w:ascii="Arial" w:hAnsi="Arial" w:hint="default"/>
      </w:rPr>
    </w:lvl>
    <w:lvl w:ilvl="6" w:tplc="4BF45A36" w:tentative="1">
      <w:start w:val="1"/>
      <w:numFmt w:val="bullet"/>
      <w:lvlText w:val="•"/>
      <w:lvlJc w:val="left"/>
      <w:pPr>
        <w:tabs>
          <w:tab w:val="num" w:pos="5040"/>
        </w:tabs>
        <w:ind w:left="5040" w:hanging="360"/>
      </w:pPr>
      <w:rPr>
        <w:rFonts w:ascii="Arial" w:hAnsi="Arial" w:hint="default"/>
      </w:rPr>
    </w:lvl>
    <w:lvl w:ilvl="7" w:tplc="4B74165C" w:tentative="1">
      <w:start w:val="1"/>
      <w:numFmt w:val="bullet"/>
      <w:lvlText w:val="•"/>
      <w:lvlJc w:val="left"/>
      <w:pPr>
        <w:tabs>
          <w:tab w:val="num" w:pos="5760"/>
        </w:tabs>
        <w:ind w:left="5760" w:hanging="360"/>
      </w:pPr>
      <w:rPr>
        <w:rFonts w:ascii="Arial" w:hAnsi="Arial" w:hint="default"/>
      </w:rPr>
    </w:lvl>
    <w:lvl w:ilvl="8" w:tplc="42228BD4" w:tentative="1">
      <w:start w:val="1"/>
      <w:numFmt w:val="bullet"/>
      <w:lvlText w:val="•"/>
      <w:lvlJc w:val="left"/>
      <w:pPr>
        <w:tabs>
          <w:tab w:val="num" w:pos="6480"/>
        </w:tabs>
        <w:ind w:left="6480" w:hanging="360"/>
      </w:pPr>
      <w:rPr>
        <w:rFonts w:ascii="Arial" w:hAnsi="Arial" w:hint="default"/>
      </w:rPr>
    </w:lvl>
  </w:abstractNum>
  <w:abstractNum w:abstractNumId="7">
    <w:nsid w:val="4CF47933"/>
    <w:multiLevelType w:val="hybridMultilevel"/>
    <w:tmpl w:val="CAB2B078"/>
    <w:lvl w:ilvl="0" w:tplc="6F70B4F0">
      <w:start w:val="1"/>
      <w:numFmt w:val="bullet"/>
      <w:lvlText w:val=""/>
      <w:lvlJc w:val="left"/>
      <w:pPr>
        <w:tabs>
          <w:tab w:val="num" w:pos="720"/>
        </w:tabs>
        <w:ind w:left="720" w:hanging="360"/>
      </w:pPr>
      <w:rPr>
        <w:rFonts w:ascii="Wingdings" w:hAnsi="Wingdings" w:hint="default"/>
      </w:rPr>
    </w:lvl>
    <w:lvl w:ilvl="1" w:tplc="0E2E7972">
      <w:start w:val="1386"/>
      <w:numFmt w:val="bullet"/>
      <w:lvlText w:val="–"/>
      <w:lvlJc w:val="left"/>
      <w:pPr>
        <w:tabs>
          <w:tab w:val="num" w:pos="1440"/>
        </w:tabs>
        <w:ind w:left="1440" w:hanging="360"/>
      </w:pPr>
      <w:rPr>
        <w:rFonts w:ascii="Arial" w:hAnsi="Arial" w:hint="default"/>
      </w:rPr>
    </w:lvl>
    <w:lvl w:ilvl="2" w:tplc="6DFE069A" w:tentative="1">
      <w:start w:val="1"/>
      <w:numFmt w:val="bullet"/>
      <w:lvlText w:val=""/>
      <w:lvlJc w:val="left"/>
      <w:pPr>
        <w:tabs>
          <w:tab w:val="num" w:pos="2160"/>
        </w:tabs>
        <w:ind w:left="2160" w:hanging="360"/>
      </w:pPr>
      <w:rPr>
        <w:rFonts w:ascii="Wingdings" w:hAnsi="Wingdings" w:hint="default"/>
      </w:rPr>
    </w:lvl>
    <w:lvl w:ilvl="3" w:tplc="B83A1AF8" w:tentative="1">
      <w:start w:val="1"/>
      <w:numFmt w:val="bullet"/>
      <w:lvlText w:val=""/>
      <w:lvlJc w:val="left"/>
      <w:pPr>
        <w:tabs>
          <w:tab w:val="num" w:pos="2880"/>
        </w:tabs>
        <w:ind w:left="2880" w:hanging="360"/>
      </w:pPr>
      <w:rPr>
        <w:rFonts w:ascii="Wingdings" w:hAnsi="Wingdings" w:hint="default"/>
      </w:rPr>
    </w:lvl>
    <w:lvl w:ilvl="4" w:tplc="EEACEEA2" w:tentative="1">
      <w:start w:val="1"/>
      <w:numFmt w:val="bullet"/>
      <w:lvlText w:val=""/>
      <w:lvlJc w:val="left"/>
      <w:pPr>
        <w:tabs>
          <w:tab w:val="num" w:pos="3600"/>
        </w:tabs>
        <w:ind w:left="3600" w:hanging="360"/>
      </w:pPr>
      <w:rPr>
        <w:rFonts w:ascii="Wingdings" w:hAnsi="Wingdings" w:hint="default"/>
      </w:rPr>
    </w:lvl>
    <w:lvl w:ilvl="5" w:tplc="7E865D12" w:tentative="1">
      <w:start w:val="1"/>
      <w:numFmt w:val="bullet"/>
      <w:lvlText w:val=""/>
      <w:lvlJc w:val="left"/>
      <w:pPr>
        <w:tabs>
          <w:tab w:val="num" w:pos="4320"/>
        </w:tabs>
        <w:ind w:left="4320" w:hanging="360"/>
      </w:pPr>
      <w:rPr>
        <w:rFonts w:ascii="Wingdings" w:hAnsi="Wingdings" w:hint="default"/>
      </w:rPr>
    </w:lvl>
    <w:lvl w:ilvl="6" w:tplc="FDA2B732" w:tentative="1">
      <w:start w:val="1"/>
      <w:numFmt w:val="bullet"/>
      <w:lvlText w:val=""/>
      <w:lvlJc w:val="left"/>
      <w:pPr>
        <w:tabs>
          <w:tab w:val="num" w:pos="5040"/>
        </w:tabs>
        <w:ind w:left="5040" w:hanging="360"/>
      </w:pPr>
      <w:rPr>
        <w:rFonts w:ascii="Wingdings" w:hAnsi="Wingdings" w:hint="default"/>
      </w:rPr>
    </w:lvl>
    <w:lvl w:ilvl="7" w:tplc="87C64CAE" w:tentative="1">
      <w:start w:val="1"/>
      <w:numFmt w:val="bullet"/>
      <w:lvlText w:val=""/>
      <w:lvlJc w:val="left"/>
      <w:pPr>
        <w:tabs>
          <w:tab w:val="num" w:pos="5760"/>
        </w:tabs>
        <w:ind w:left="5760" w:hanging="360"/>
      </w:pPr>
      <w:rPr>
        <w:rFonts w:ascii="Wingdings" w:hAnsi="Wingdings" w:hint="default"/>
      </w:rPr>
    </w:lvl>
    <w:lvl w:ilvl="8" w:tplc="04C8E946" w:tentative="1">
      <w:start w:val="1"/>
      <w:numFmt w:val="bullet"/>
      <w:lvlText w:val=""/>
      <w:lvlJc w:val="left"/>
      <w:pPr>
        <w:tabs>
          <w:tab w:val="num" w:pos="6480"/>
        </w:tabs>
        <w:ind w:left="6480" w:hanging="360"/>
      </w:pPr>
      <w:rPr>
        <w:rFonts w:ascii="Wingdings" w:hAnsi="Wingdings" w:hint="default"/>
      </w:rPr>
    </w:lvl>
  </w:abstractNum>
  <w:abstractNum w:abstractNumId="8">
    <w:nsid w:val="57616DEA"/>
    <w:multiLevelType w:val="hybridMultilevel"/>
    <w:tmpl w:val="E274008A"/>
    <w:lvl w:ilvl="0" w:tplc="E5FA360E">
      <w:start w:val="1"/>
      <w:numFmt w:val="bullet"/>
      <w:lvlText w:val=""/>
      <w:lvlJc w:val="left"/>
      <w:pPr>
        <w:tabs>
          <w:tab w:val="num" w:pos="720"/>
        </w:tabs>
        <w:ind w:left="720" w:hanging="360"/>
      </w:pPr>
      <w:rPr>
        <w:rFonts w:ascii="Wingdings" w:hAnsi="Wingdings" w:hint="default"/>
      </w:rPr>
    </w:lvl>
    <w:lvl w:ilvl="1" w:tplc="2570C24A">
      <w:start w:val="1386"/>
      <w:numFmt w:val="bullet"/>
      <w:lvlText w:val="–"/>
      <w:lvlJc w:val="left"/>
      <w:pPr>
        <w:tabs>
          <w:tab w:val="num" w:pos="1440"/>
        </w:tabs>
        <w:ind w:left="1440" w:hanging="360"/>
      </w:pPr>
      <w:rPr>
        <w:rFonts w:ascii="Arial" w:hAnsi="Arial" w:hint="default"/>
      </w:rPr>
    </w:lvl>
    <w:lvl w:ilvl="2" w:tplc="2DD4AD64" w:tentative="1">
      <w:start w:val="1"/>
      <w:numFmt w:val="bullet"/>
      <w:lvlText w:val=""/>
      <w:lvlJc w:val="left"/>
      <w:pPr>
        <w:tabs>
          <w:tab w:val="num" w:pos="2160"/>
        </w:tabs>
        <w:ind w:left="2160" w:hanging="360"/>
      </w:pPr>
      <w:rPr>
        <w:rFonts w:ascii="Wingdings" w:hAnsi="Wingdings" w:hint="default"/>
      </w:rPr>
    </w:lvl>
    <w:lvl w:ilvl="3" w:tplc="5FFCC0B6" w:tentative="1">
      <w:start w:val="1"/>
      <w:numFmt w:val="bullet"/>
      <w:lvlText w:val=""/>
      <w:lvlJc w:val="left"/>
      <w:pPr>
        <w:tabs>
          <w:tab w:val="num" w:pos="2880"/>
        </w:tabs>
        <w:ind w:left="2880" w:hanging="360"/>
      </w:pPr>
      <w:rPr>
        <w:rFonts w:ascii="Wingdings" w:hAnsi="Wingdings" w:hint="default"/>
      </w:rPr>
    </w:lvl>
    <w:lvl w:ilvl="4" w:tplc="80106F90" w:tentative="1">
      <w:start w:val="1"/>
      <w:numFmt w:val="bullet"/>
      <w:lvlText w:val=""/>
      <w:lvlJc w:val="left"/>
      <w:pPr>
        <w:tabs>
          <w:tab w:val="num" w:pos="3600"/>
        </w:tabs>
        <w:ind w:left="3600" w:hanging="360"/>
      </w:pPr>
      <w:rPr>
        <w:rFonts w:ascii="Wingdings" w:hAnsi="Wingdings" w:hint="default"/>
      </w:rPr>
    </w:lvl>
    <w:lvl w:ilvl="5" w:tplc="788878DC" w:tentative="1">
      <w:start w:val="1"/>
      <w:numFmt w:val="bullet"/>
      <w:lvlText w:val=""/>
      <w:lvlJc w:val="left"/>
      <w:pPr>
        <w:tabs>
          <w:tab w:val="num" w:pos="4320"/>
        </w:tabs>
        <w:ind w:left="4320" w:hanging="360"/>
      </w:pPr>
      <w:rPr>
        <w:rFonts w:ascii="Wingdings" w:hAnsi="Wingdings" w:hint="default"/>
      </w:rPr>
    </w:lvl>
    <w:lvl w:ilvl="6" w:tplc="33ACDBE4" w:tentative="1">
      <w:start w:val="1"/>
      <w:numFmt w:val="bullet"/>
      <w:lvlText w:val=""/>
      <w:lvlJc w:val="left"/>
      <w:pPr>
        <w:tabs>
          <w:tab w:val="num" w:pos="5040"/>
        </w:tabs>
        <w:ind w:left="5040" w:hanging="360"/>
      </w:pPr>
      <w:rPr>
        <w:rFonts w:ascii="Wingdings" w:hAnsi="Wingdings" w:hint="default"/>
      </w:rPr>
    </w:lvl>
    <w:lvl w:ilvl="7" w:tplc="78A49A3E" w:tentative="1">
      <w:start w:val="1"/>
      <w:numFmt w:val="bullet"/>
      <w:lvlText w:val=""/>
      <w:lvlJc w:val="left"/>
      <w:pPr>
        <w:tabs>
          <w:tab w:val="num" w:pos="5760"/>
        </w:tabs>
        <w:ind w:left="5760" w:hanging="360"/>
      </w:pPr>
      <w:rPr>
        <w:rFonts w:ascii="Wingdings" w:hAnsi="Wingdings" w:hint="default"/>
      </w:rPr>
    </w:lvl>
    <w:lvl w:ilvl="8" w:tplc="DDEA15D6"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7"/>
  </w:num>
  <w:num w:numId="3">
    <w:abstractNumId w:val="4"/>
  </w:num>
  <w:num w:numId="4">
    <w:abstractNumId w:val="8"/>
  </w:num>
  <w:num w:numId="5">
    <w:abstractNumId w:val="2"/>
  </w:num>
  <w:num w:numId="6">
    <w:abstractNumId w:val="6"/>
  </w:num>
  <w:num w:numId="7">
    <w:abstractNumId w:val="3"/>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savePreviewPicture/>
  <w:compat/>
  <w:rsids>
    <w:rsidRoot w:val="00AD5678"/>
    <w:rsid w:val="00001D19"/>
    <w:rsid w:val="00001D50"/>
    <w:rsid w:val="00005BE1"/>
    <w:rsid w:val="000136C9"/>
    <w:rsid w:val="00021931"/>
    <w:rsid w:val="00024B24"/>
    <w:rsid w:val="00027B57"/>
    <w:rsid w:val="00031600"/>
    <w:rsid w:val="00033A29"/>
    <w:rsid w:val="00036DB6"/>
    <w:rsid w:val="00040199"/>
    <w:rsid w:val="00046410"/>
    <w:rsid w:val="000472E0"/>
    <w:rsid w:val="0004780B"/>
    <w:rsid w:val="00052E41"/>
    <w:rsid w:val="00056AE3"/>
    <w:rsid w:val="00060D4D"/>
    <w:rsid w:val="000654F2"/>
    <w:rsid w:val="0006559A"/>
    <w:rsid w:val="00066300"/>
    <w:rsid w:val="00067F63"/>
    <w:rsid w:val="00070C2D"/>
    <w:rsid w:val="00073A16"/>
    <w:rsid w:val="00075D16"/>
    <w:rsid w:val="00077C9C"/>
    <w:rsid w:val="00080913"/>
    <w:rsid w:val="00080D7D"/>
    <w:rsid w:val="00080ECC"/>
    <w:rsid w:val="00081ADD"/>
    <w:rsid w:val="00086D95"/>
    <w:rsid w:val="00090180"/>
    <w:rsid w:val="00090551"/>
    <w:rsid w:val="00091BED"/>
    <w:rsid w:val="00093A61"/>
    <w:rsid w:val="000950A2"/>
    <w:rsid w:val="00095657"/>
    <w:rsid w:val="00096376"/>
    <w:rsid w:val="000A0AE2"/>
    <w:rsid w:val="000A14A0"/>
    <w:rsid w:val="000A4473"/>
    <w:rsid w:val="000B16A6"/>
    <w:rsid w:val="000B2023"/>
    <w:rsid w:val="000B27A7"/>
    <w:rsid w:val="000B35C7"/>
    <w:rsid w:val="000B74CA"/>
    <w:rsid w:val="000C5644"/>
    <w:rsid w:val="000D3C50"/>
    <w:rsid w:val="000D4B0F"/>
    <w:rsid w:val="000D5B40"/>
    <w:rsid w:val="000D5DE2"/>
    <w:rsid w:val="000D6D74"/>
    <w:rsid w:val="000D760F"/>
    <w:rsid w:val="000E4C02"/>
    <w:rsid w:val="000E7D6E"/>
    <w:rsid w:val="000F00B1"/>
    <w:rsid w:val="000F0D71"/>
    <w:rsid w:val="000F2006"/>
    <w:rsid w:val="000F20F2"/>
    <w:rsid w:val="000F3601"/>
    <w:rsid w:val="000F396C"/>
    <w:rsid w:val="000F3B8C"/>
    <w:rsid w:val="000F5ADE"/>
    <w:rsid w:val="000F60EC"/>
    <w:rsid w:val="000F7A67"/>
    <w:rsid w:val="0010013D"/>
    <w:rsid w:val="00102D40"/>
    <w:rsid w:val="0010457F"/>
    <w:rsid w:val="0010499F"/>
    <w:rsid w:val="00110AD5"/>
    <w:rsid w:val="00116E22"/>
    <w:rsid w:val="001179CA"/>
    <w:rsid w:val="00120BC3"/>
    <w:rsid w:val="001232CE"/>
    <w:rsid w:val="001304DE"/>
    <w:rsid w:val="00136AE2"/>
    <w:rsid w:val="00136DB2"/>
    <w:rsid w:val="00141EE5"/>
    <w:rsid w:val="001454D9"/>
    <w:rsid w:val="00150758"/>
    <w:rsid w:val="00150845"/>
    <w:rsid w:val="00152E9D"/>
    <w:rsid w:val="00153D4B"/>
    <w:rsid w:val="001560EF"/>
    <w:rsid w:val="0016386B"/>
    <w:rsid w:val="00165488"/>
    <w:rsid w:val="00165994"/>
    <w:rsid w:val="00170201"/>
    <w:rsid w:val="00172075"/>
    <w:rsid w:val="001767B7"/>
    <w:rsid w:val="0017691B"/>
    <w:rsid w:val="00176FAF"/>
    <w:rsid w:val="0017762B"/>
    <w:rsid w:val="00192363"/>
    <w:rsid w:val="00195C05"/>
    <w:rsid w:val="001A17F1"/>
    <w:rsid w:val="001A3320"/>
    <w:rsid w:val="001A733F"/>
    <w:rsid w:val="001B13CC"/>
    <w:rsid w:val="001B43FF"/>
    <w:rsid w:val="001B58AC"/>
    <w:rsid w:val="001C08F3"/>
    <w:rsid w:val="001C6E26"/>
    <w:rsid w:val="001D0D79"/>
    <w:rsid w:val="001D38EF"/>
    <w:rsid w:val="001E0317"/>
    <w:rsid w:val="001E187A"/>
    <w:rsid w:val="001E3347"/>
    <w:rsid w:val="001E4291"/>
    <w:rsid w:val="001E53E8"/>
    <w:rsid w:val="001E6459"/>
    <w:rsid w:val="001E7BF3"/>
    <w:rsid w:val="002004C7"/>
    <w:rsid w:val="002007D1"/>
    <w:rsid w:val="002042D9"/>
    <w:rsid w:val="00215C2D"/>
    <w:rsid w:val="002167A3"/>
    <w:rsid w:val="00216BBF"/>
    <w:rsid w:val="00223F56"/>
    <w:rsid w:val="0022758C"/>
    <w:rsid w:val="00230245"/>
    <w:rsid w:val="00232B51"/>
    <w:rsid w:val="00234666"/>
    <w:rsid w:val="002355B5"/>
    <w:rsid w:val="0023650E"/>
    <w:rsid w:val="00236BAF"/>
    <w:rsid w:val="00237313"/>
    <w:rsid w:val="00245338"/>
    <w:rsid w:val="00245915"/>
    <w:rsid w:val="002468D2"/>
    <w:rsid w:val="002502C1"/>
    <w:rsid w:val="0025134B"/>
    <w:rsid w:val="00252923"/>
    <w:rsid w:val="002564F6"/>
    <w:rsid w:val="00256B31"/>
    <w:rsid w:val="002626C7"/>
    <w:rsid w:val="00262F60"/>
    <w:rsid w:val="00263E16"/>
    <w:rsid w:val="00264F15"/>
    <w:rsid w:val="00266233"/>
    <w:rsid w:val="00267036"/>
    <w:rsid w:val="00270392"/>
    <w:rsid w:val="00272025"/>
    <w:rsid w:val="002808BB"/>
    <w:rsid w:val="00281B8C"/>
    <w:rsid w:val="00282537"/>
    <w:rsid w:val="00282A23"/>
    <w:rsid w:val="00285492"/>
    <w:rsid w:val="002907ED"/>
    <w:rsid w:val="00292C44"/>
    <w:rsid w:val="002956A5"/>
    <w:rsid w:val="00296595"/>
    <w:rsid w:val="002B5727"/>
    <w:rsid w:val="002B6B9B"/>
    <w:rsid w:val="002B743F"/>
    <w:rsid w:val="002C2D48"/>
    <w:rsid w:val="002C4131"/>
    <w:rsid w:val="002C59E0"/>
    <w:rsid w:val="002D0FA8"/>
    <w:rsid w:val="002D18C9"/>
    <w:rsid w:val="002D341E"/>
    <w:rsid w:val="002D35CC"/>
    <w:rsid w:val="002D512F"/>
    <w:rsid w:val="002D5650"/>
    <w:rsid w:val="002D5E2F"/>
    <w:rsid w:val="002D5FD1"/>
    <w:rsid w:val="002D7413"/>
    <w:rsid w:val="002E04FE"/>
    <w:rsid w:val="002E1972"/>
    <w:rsid w:val="002E4AEE"/>
    <w:rsid w:val="002E745F"/>
    <w:rsid w:val="002F0AEE"/>
    <w:rsid w:val="002F1E2A"/>
    <w:rsid w:val="002F42CE"/>
    <w:rsid w:val="003010ED"/>
    <w:rsid w:val="003039D8"/>
    <w:rsid w:val="003041FE"/>
    <w:rsid w:val="00304335"/>
    <w:rsid w:val="003058B6"/>
    <w:rsid w:val="003104D5"/>
    <w:rsid w:val="00310F11"/>
    <w:rsid w:val="0031410A"/>
    <w:rsid w:val="00315BB1"/>
    <w:rsid w:val="00317F6E"/>
    <w:rsid w:val="00320663"/>
    <w:rsid w:val="00322AC4"/>
    <w:rsid w:val="00323643"/>
    <w:rsid w:val="003277E4"/>
    <w:rsid w:val="00331C1C"/>
    <w:rsid w:val="00343407"/>
    <w:rsid w:val="00346AC7"/>
    <w:rsid w:val="00352A0B"/>
    <w:rsid w:val="00352E68"/>
    <w:rsid w:val="00354C4C"/>
    <w:rsid w:val="00355A50"/>
    <w:rsid w:val="003573D9"/>
    <w:rsid w:val="00361A4B"/>
    <w:rsid w:val="00364C88"/>
    <w:rsid w:val="0036610A"/>
    <w:rsid w:val="00374455"/>
    <w:rsid w:val="00380839"/>
    <w:rsid w:val="00382796"/>
    <w:rsid w:val="003835B8"/>
    <w:rsid w:val="00384EB0"/>
    <w:rsid w:val="0038670C"/>
    <w:rsid w:val="00392336"/>
    <w:rsid w:val="00396762"/>
    <w:rsid w:val="003A4884"/>
    <w:rsid w:val="003A7472"/>
    <w:rsid w:val="003B4358"/>
    <w:rsid w:val="003B7B9A"/>
    <w:rsid w:val="003C1B30"/>
    <w:rsid w:val="003C2F8B"/>
    <w:rsid w:val="003D040F"/>
    <w:rsid w:val="003D652D"/>
    <w:rsid w:val="003E0C5A"/>
    <w:rsid w:val="003E43C5"/>
    <w:rsid w:val="003E5DF4"/>
    <w:rsid w:val="003E6555"/>
    <w:rsid w:val="003F0BE8"/>
    <w:rsid w:val="003F32CF"/>
    <w:rsid w:val="003F4C43"/>
    <w:rsid w:val="00400DEF"/>
    <w:rsid w:val="00400FA0"/>
    <w:rsid w:val="00402527"/>
    <w:rsid w:val="00402B30"/>
    <w:rsid w:val="0041173D"/>
    <w:rsid w:val="004179E0"/>
    <w:rsid w:val="004243C4"/>
    <w:rsid w:val="00430719"/>
    <w:rsid w:val="00431E34"/>
    <w:rsid w:val="00432C92"/>
    <w:rsid w:val="004365A3"/>
    <w:rsid w:val="0043672C"/>
    <w:rsid w:val="00436EC6"/>
    <w:rsid w:val="004379F3"/>
    <w:rsid w:val="00442389"/>
    <w:rsid w:val="00446E68"/>
    <w:rsid w:val="00450DBF"/>
    <w:rsid w:val="00452AA8"/>
    <w:rsid w:val="00454FEA"/>
    <w:rsid w:val="00455E20"/>
    <w:rsid w:val="00455E7D"/>
    <w:rsid w:val="004570FB"/>
    <w:rsid w:val="004676F4"/>
    <w:rsid w:val="00472199"/>
    <w:rsid w:val="00473F5F"/>
    <w:rsid w:val="00474AA0"/>
    <w:rsid w:val="00476EE0"/>
    <w:rsid w:val="0048111B"/>
    <w:rsid w:val="0048536E"/>
    <w:rsid w:val="00485422"/>
    <w:rsid w:val="00491767"/>
    <w:rsid w:val="00491A8D"/>
    <w:rsid w:val="00492827"/>
    <w:rsid w:val="00495229"/>
    <w:rsid w:val="0049554E"/>
    <w:rsid w:val="004A1387"/>
    <w:rsid w:val="004A2782"/>
    <w:rsid w:val="004A4831"/>
    <w:rsid w:val="004A4C46"/>
    <w:rsid w:val="004A76B4"/>
    <w:rsid w:val="004B165D"/>
    <w:rsid w:val="004B2DE4"/>
    <w:rsid w:val="004B5CB8"/>
    <w:rsid w:val="004B60E1"/>
    <w:rsid w:val="004C2039"/>
    <w:rsid w:val="004C36E3"/>
    <w:rsid w:val="004C57D9"/>
    <w:rsid w:val="004C6EEB"/>
    <w:rsid w:val="004D102B"/>
    <w:rsid w:val="004D1853"/>
    <w:rsid w:val="004D32EB"/>
    <w:rsid w:val="004D3BCE"/>
    <w:rsid w:val="004E0B31"/>
    <w:rsid w:val="004E2399"/>
    <w:rsid w:val="004E57DD"/>
    <w:rsid w:val="004E70F4"/>
    <w:rsid w:val="004F0232"/>
    <w:rsid w:val="004F1101"/>
    <w:rsid w:val="004F1B95"/>
    <w:rsid w:val="004F1BF3"/>
    <w:rsid w:val="004F4C5B"/>
    <w:rsid w:val="004F7ECC"/>
    <w:rsid w:val="00503294"/>
    <w:rsid w:val="005044DB"/>
    <w:rsid w:val="005048F7"/>
    <w:rsid w:val="00505A31"/>
    <w:rsid w:val="005127B5"/>
    <w:rsid w:val="00516425"/>
    <w:rsid w:val="00517C29"/>
    <w:rsid w:val="00521A5A"/>
    <w:rsid w:val="00522D16"/>
    <w:rsid w:val="005271CF"/>
    <w:rsid w:val="00530B95"/>
    <w:rsid w:val="00531AE6"/>
    <w:rsid w:val="00536803"/>
    <w:rsid w:val="00540290"/>
    <w:rsid w:val="0054268A"/>
    <w:rsid w:val="00545EE0"/>
    <w:rsid w:val="005520BA"/>
    <w:rsid w:val="00552D4C"/>
    <w:rsid w:val="00553802"/>
    <w:rsid w:val="00553AE7"/>
    <w:rsid w:val="005541F9"/>
    <w:rsid w:val="00560D0A"/>
    <w:rsid w:val="00564BB9"/>
    <w:rsid w:val="005668A0"/>
    <w:rsid w:val="005710F6"/>
    <w:rsid w:val="0057184D"/>
    <w:rsid w:val="00571D73"/>
    <w:rsid w:val="005728E4"/>
    <w:rsid w:val="00573519"/>
    <w:rsid w:val="0057448D"/>
    <w:rsid w:val="00574704"/>
    <w:rsid w:val="0057603F"/>
    <w:rsid w:val="00593454"/>
    <w:rsid w:val="00593BB2"/>
    <w:rsid w:val="005940EE"/>
    <w:rsid w:val="00594FCD"/>
    <w:rsid w:val="005A1E1A"/>
    <w:rsid w:val="005A3A46"/>
    <w:rsid w:val="005A487E"/>
    <w:rsid w:val="005B22EE"/>
    <w:rsid w:val="005C31BD"/>
    <w:rsid w:val="005C5599"/>
    <w:rsid w:val="005C7342"/>
    <w:rsid w:val="005D369C"/>
    <w:rsid w:val="005E1EEB"/>
    <w:rsid w:val="005E2F25"/>
    <w:rsid w:val="005F0694"/>
    <w:rsid w:val="005F6EDC"/>
    <w:rsid w:val="005F76FF"/>
    <w:rsid w:val="005F7C33"/>
    <w:rsid w:val="00600057"/>
    <w:rsid w:val="0060098E"/>
    <w:rsid w:val="00601B99"/>
    <w:rsid w:val="006024D0"/>
    <w:rsid w:val="00607560"/>
    <w:rsid w:val="00613FC8"/>
    <w:rsid w:val="0061764B"/>
    <w:rsid w:val="00621CA1"/>
    <w:rsid w:val="00623DDD"/>
    <w:rsid w:val="006245B6"/>
    <w:rsid w:val="00626D25"/>
    <w:rsid w:val="0062733A"/>
    <w:rsid w:val="00630A80"/>
    <w:rsid w:val="00632C81"/>
    <w:rsid w:val="006346D9"/>
    <w:rsid w:val="00635662"/>
    <w:rsid w:val="00636657"/>
    <w:rsid w:val="00636E25"/>
    <w:rsid w:val="00642698"/>
    <w:rsid w:val="00647306"/>
    <w:rsid w:val="0065221A"/>
    <w:rsid w:val="00653C37"/>
    <w:rsid w:val="00655F75"/>
    <w:rsid w:val="006605B2"/>
    <w:rsid w:val="00664291"/>
    <w:rsid w:val="0066631A"/>
    <w:rsid w:val="00671D89"/>
    <w:rsid w:val="00672052"/>
    <w:rsid w:val="00675DFE"/>
    <w:rsid w:val="00680BCA"/>
    <w:rsid w:val="006832BE"/>
    <w:rsid w:val="006920D2"/>
    <w:rsid w:val="00692A09"/>
    <w:rsid w:val="0069778A"/>
    <w:rsid w:val="00697EAF"/>
    <w:rsid w:val="006A1AAE"/>
    <w:rsid w:val="006A4B57"/>
    <w:rsid w:val="006A6838"/>
    <w:rsid w:val="006A6FC2"/>
    <w:rsid w:val="006B0FD6"/>
    <w:rsid w:val="006B1AD7"/>
    <w:rsid w:val="006B701F"/>
    <w:rsid w:val="006C1415"/>
    <w:rsid w:val="006C4A15"/>
    <w:rsid w:val="006C5880"/>
    <w:rsid w:val="006C6F96"/>
    <w:rsid w:val="006D080E"/>
    <w:rsid w:val="006D1AA3"/>
    <w:rsid w:val="006D1DE3"/>
    <w:rsid w:val="006D406C"/>
    <w:rsid w:val="006E517E"/>
    <w:rsid w:val="006E55AE"/>
    <w:rsid w:val="006E5774"/>
    <w:rsid w:val="006E733C"/>
    <w:rsid w:val="006E758D"/>
    <w:rsid w:val="006F176E"/>
    <w:rsid w:val="006F50E1"/>
    <w:rsid w:val="006F569C"/>
    <w:rsid w:val="006F6130"/>
    <w:rsid w:val="00703117"/>
    <w:rsid w:val="00704472"/>
    <w:rsid w:val="0071006A"/>
    <w:rsid w:val="00711534"/>
    <w:rsid w:val="00714A5A"/>
    <w:rsid w:val="0071746D"/>
    <w:rsid w:val="007255A7"/>
    <w:rsid w:val="00726D09"/>
    <w:rsid w:val="00730522"/>
    <w:rsid w:val="00732A18"/>
    <w:rsid w:val="00733490"/>
    <w:rsid w:val="0073528D"/>
    <w:rsid w:val="00736D0C"/>
    <w:rsid w:val="00741142"/>
    <w:rsid w:val="007412F7"/>
    <w:rsid w:val="00743AF5"/>
    <w:rsid w:val="00745DE3"/>
    <w:rsid w:val="007502C4"/>
    <w:rsid w:val="00750446"/>
    <w:rsid w:val="00754CE0"/>
    <w:rsid w:val="00755E98"/>
    <w:rsid w:val="0076396B"/>
    <w:rsid w:val="00763F3A"/>
    <w:rsid w:val="00764061"/>
    <w:rsid w:val="00772852"/>
    <w:rsid w:val="00774BAE"/>
    <w:rsid w:val="0077660E"/>
    <w:rsid w:val="007843E4"/>
    <w:rsid w:val="0078681E"/>
    <w:rsid w:val="0079637D"/>
    <w:rsid w:val="007A1FB1"/>
    <w:rsid w:val="007A2C91"/>
    <w:rsid w:val="007A33BA"/>
    <w:rsid w:val="007A536E"/>
    <w:rsid w:val="007A580D"/>
    <w:rsid w:val="007A6D53"/>
    <w:rsid w:val="007B2218"/>
    <w:rsid w:val="007B6D15"/>
    <w:rsid w:val="007C4336"/>
    <w:rsid w:val="007C7424"/>
    <w:rsid w:val="007D48A2"/>
    <w:rsid w:val="007D500A"/>
    <w:rsid w:val="007E015C"/>
    <w:rsid w:val="007E2C91"/>
    <w:rsid w:val="007E5967"/>
    <w:rsid w:val="007E75F3"/>
    <w:rsid w:val="007F1598"/>
    <w:rsid w:val="007F159C"/>
    <w:rsid w:val="007F430C"/>
    <w:rsid w:val="007F56B5"/>
    <w:rsid w:val="007F65E8"/>
    <w:rsid w:val="0080632F"/>
    <w:rsid w:val="008071CF"/>
    <w:rsid w:val="008076EB"/>
    <w:rsid w:val="008104D9"/>
    <w:rsid w:val="00810506"/>
    <w:rsid w:val="008114AF"/>
    <w:rsid w:val="00815DCA"/>
    <w:rsid w:val="0082495C"/>
    <w:rsid w:val="008273C5"/>
    <w:rsid w:val="0082792E"/>
    <w:rsid w:val="00842625"/>
    <w:rsid w:val="008436FF"/>
    <w:rsid w:val="00844490"/>
    <w:rsid w:val="00850FB1"/>
    <w:rsid w:val="008534E1"/>
    <w:rsid w:val="00860744"/>
    <w:rsid w:val="00862040"/>
    <w:rsid w:val="008652F2"/>
    <w:rsid w:val="008658A7"/>
    <w:rsid w:val="008701D7"/>
    <w:rsid w:val="00872432"/>
    <w:rsid w:val="00872EE9"/>
    <w:rsid w:val="0087482F"/>
    <w:rsid w:val="00875ADE"/>
    <w:rsid w:val="008821C4"/>
    <w:rsid w:val="00882E02"/>
    <w:rsid w:val="008833A9"/>
    <w:rsid w:val="00885910"/>
    <w:rsid w:val="00890C7A"/>
    <w:rsid w:val="008931E6"/>
    <w:rsid w:val="00893655"/>
    <w:rsid w:val="008963DB"/>
    <w:rsid w:val="00896F04"/>
    <w:rsid w:val="008A1E99"/>
    <w:rsid w:val="008A4816"/>
    <w:rsid w:val="008A54FB"/>
    <w:rsid w:val="008A7F33"/>
    <w:rsid w:val="008B21C9"/>
    <w:rsid w:val="008B5496"/>
    <w:rsid w:val="008B7E11"/>
    <w:rsid w:val="008C0147"/>
    <w:rsid w:val="008C0BE4"/>
    <w:rsid w:val="008D2FC4"/>
    <w:rsid w:val="008D3260"/>
    <w:rsid w:val="008D35A0"/>
    <w:rsid w:val="008D721B"/>
    <w:rsid w:val="008E0825"/>
    <w:rsid w:val="008E095E"/>
    <w:rsid w:val="009029EA"/>
    <w:rsid w:val="00906B27"/>
    <w:rsid w:val="009076B2"/>
    <w:rsid w:val="00912D85"/>
    <w:rsid w:val="0091300C"/>
    <w:rsid w:val="009146FE"/>
    <w:rsid w:val="00921BEA"/>
    <w:rsid w:val="00933848"/>
    <w:rsid w:val="00934624"/>
    <w:rsid w:val="0093579C"/>
    <w:rsid w:val="0094234E"/>
    <w:rsid w:val="0094509F"/>
    <w:rsid w:val="00945DA3"/>
    <w:rsid w:val="009461A3"/>
    <w:rsid w:val="00946399"/>
    <w:rsid w:val="00950809"/>
    <w:rsid w:val="009530CF"/>
    <w:rsid w:val="009571BA"/>
    <w:rsid w:val="00960871"/>
    <w:rsid w:val="009620F3"/>
    <w:rsid w:val="00962C23"/>
    <w:rsid w:val="00963C2D"/>
    <w:rsid w:val="00966890"/>
    <w:rsid w:val="009672A1"/>
    <w:rsid w:val="0097211D"/>
    <w:rsid w:val="00974D13"/>
    <w:rsid w:val="00981544"/>
    <w:rsid w:val="0098174B"/>
    <w:rsid w:val="00991841"/>
    <w:rsid w:val="009935C7"/>
    <w:rsid w:val="009953BA"/>
    <w:rsid w:val="00996108"/>
    <w:rsid w:val="00996653"/>
    <w:rsid w:val="009976A7"/>
    <w:rsid w:val="009A060A"/>
    <w:rsid w:val="009A20F0"/>
    <w:rsid w:val="009A6398"/>
    <w:rsid w:val="009B0AE1"/>
    <w:rsid w:val="009B4E06"/>
    <w:rsid w:val="009B52B6"/>
    <w:rsid w:val="009B5706"/>
    <w:rsid w:val="009B7E62"/>
    <w:rsid w:val="009C0BD2"/>
    <w:rsid w:val="009C3428"/>
    <w:rsid w:val="009C3EB2"/>
    <w:rsid w:val="009C6014"/>
    <w:rsid w:val="009D3150"/>
    <w:rsid w:val="009D4D9B"/>
    <w:rsid w:val="009E4418"/>
    <w:rsid w:val="009F2468"/>
    <w:rsid w:val="009F2FF4"/>
    <w:rsid w:val="009F4928"/>
    <w:rsid w:val="00A050DC"/>
    <w:rsid w:val="00A0754F"/>
    <w:rsid w:val="00A10A36"/>
    <w:rsid w:val="00A14703"/>
    <w:rsid w:val="00A15CBB"/>
    <w:rsid w:val="00A15D36"/>
    <w:rsid w:val="00A20F8E"/>
    <w:rsid w:val="00A235EC"/>
    <w:rsid w:val="00A30924"/>
    <w:rsid w:val="00A318CB"/>
    <w:rsid w:val="00A31D75"/>
    <w:rsid w:val="00A32B00"/>
    <w:rsid w:val="00A35D78"/>
    <w:rsid w:val="00A532F3"/>
    <w:rsid w:val="00A54429"/>
    <w:rsid w:val="00A63F08"/>
    <w:rsid w:val="00A729AE"/>
    <w:rsid w:val="00A734E6"/>
    <w:rsid w:val="00A74466"/>
    <w:rsid w:val="00A751E3"/>
    <w:rsid w:val="00A7555F"/>
    <w:rsid w:val="00A76BD6"/>
    <w:rsid w:val="00A82050"/>
    <w:rsid w:val="00A838E8"/>
    <w:rsid w:val="00A86A17"/>
    <w:rsid w:val="00A94780"/>
    <w:rsid w:val="00A9758E"/>
    <w:rsid w:val="00A977F2"/>
    <w:rsid w:val="00AA267E"/>
    <w:rsid w:val="00AA4510"/>
    <w:rsid w:val="00AA6C59"/>
    <w:rsid w:val="00AA7D0D"/>
    <w:rsid w:val="00AB0CE6"/>
    <w:rsid w:val="00AB1028"/>
    <w:rsid w:val="00AB6182"/>
    <w:rsid w:val="00AB6A2F"/>
    <w:rsid w:val="00AC0940"/>
    <w:rsid w:val="00AC166F"/>
    <w:rsid w:val="00AC478A"/>
    <w:rsid w:val="00AD04FF"/>
    <w:rsid w:val="00AD32B3"/>
    <w:rsid w:val="00AD5678"/>
    <w:rsid w:val="00AD6A1A"/>
    <w:rsid w:val="00AE70EE"/>
    <w:rsid w:val="00AF0A21"/>
    <w:rsid w:val="00AF0E8F"/>
    <w:rsid w:val="00AF1A87"/>
    <w:rsid w:val="00AF2055"/>
    <w:rsid w:val="00AF5C07"/>
    <w:rsid w:val="00B00EF9"/>
    <w:rsid w:val="00B01898"/>
    <w:rsid w:val="00B02074"/>
    <w:rsid w:val="00B044C4"/>
    <w:rsid w:val="00B04ADD"/>
    <w:rsid w:val="00B05207"/>
    <w:rsid w:val="00B05262"/>
    <w:rsid w:val="00B123EE"/>
    <w:rsid w:val="00B141D3"/>
    <w:rsid w:val="00B16BCA"/>
    <w:rsid w:val="00B20140"/>
    <w:rsid w:val="00B20AA7"/>
    <w:rsid w:val="00B2195B"/>
    <w:rsid w:val="00B23E41"/>
    <w:rsid w:val="00B310D6"/>
    <w:rsid w:val="00B34F45"/>
    <w:rsid w:val="00B36AAC"/>
    <w:rsid w:val="00B37232"/>
    <w:rsid w:val="00B417B7"/>
    <w:rsid w:val="00B432DE"/>
    <w:rsid w:val="00B442F0"/>
    <w:rsid w:val="00B44CCB"/>
    <w:rsid w:val="00B47001"/>
    <w:rsid w:val="00B4791D"/>
    <w:rsid w:val="00B50BF9"/>
    <w:rsid w:val="00B61AFB"/>
    <w:rsid w:val="00B6607E"/>
    <w:rsid w:val="00B671C4"/>
    <w:rsid w:val="00B71C00"/>
    <w:rsid w:val="00B728DA"/>
    <w:rsid w:val="00B72A3B"/>
    <w:rsid w:val="00B74C9C"/>
    <w:rsid w:val="00B751AE"/>
    <w:rsid w:val="00B7551D"/>
    <w:rsid w:val="00B82CCC"/>
    <w:rsid w:val="00B843C0"/>
    <w:rsid w:val="00B851AB"/>
    <w:rsid w:val="00B901B3"/>
    <w:rsid w:val="00BA2995"/>
    <w:rsid w:val="00BB0A9C"/>
    <w:rsid w:val="00BB5C1C"/>
    <w:rsid w:val="00BB7CEB"/>
    <w:rsid w:val="00BC2E88"/>
    <w:rsid w:val="00BC3330"/>
    <w:rsid w:val="00BD12A6"/>
    <w:rsid w:val="00BD74BA"/>
    <w:rsid w:val="00BD7FB3"/>
    <w:rsid w:val="00BE0696"/>
    <w:rsid w:val="00BF0EAA"/>
    <w:rsid w:val="00BF4718"/>
    <w:rsid w:val="00C0098E"/>
    <w:rsid w:val="00C01049"/>
    <w:rsid w:val="00C02B4C"/>
    <w:rsid w:val="00C0321F"/>
    <w:rsid w:val="00C043DD"/>
    <w:rsid w:val="00C067A8"/>
    <w:rsid w:val="00C06FE4"/>
    <w:rsid w:val="00C11488"/>
    <w:rsid w:val="00C12799"/>
    <w:rsid w:val="00C21C70"/>
    <w:rsid w:val="00C2639A"/>
    <w:rsid w:val="00C26D33"/>
    <w:rsid w:val="00C3074F"/>
    <w:rsid w:val="00C30933"/>
    <w:rsid w:val="00C3461D"/>
    <w:rsid w:val="00C352B8"/>
    <w:rsid w:val="00C43209"/>
    <w:rsid w:val="00C454AA"/>
    <w:rsid w:val="00C45820"/>
    <w:rsid w:val="00C47DA8"/>
    <w:rsid w:val="00C5038D"/>
    <w:rsid w:val="00C51AE4"/>
    <w:rsid w:val="00C51EF7"/>
    <w:rsid w:val="00C632DC"/>
    <w:rsid w:val="00C6589E"/>
    <w:rsid w:val="00C67328"/>
    <w:rsid w:val="00C722C9"/>
    <w:rsid w:val="00C76B6B"/>
    <w:rsid w:val="00C80BD1"/>
    <w:rsid w:val="00C81864"/>
    <w:rsid w:val="00C862F6"/>
    <w:rsid w:val="00C936A2"/>
    <w:rsid w:val="00C95A42"/>
    <w:rsid w:val="00C96446"/>
    <w:rsid w:val="00C96846"/>
    <w:rsid w:val="00CA149C"/>
    <w:rsid w:val="00CA526F"/>
    <w:rsid w:val="00CB10FA"/>
    <w:rsid w:val="00CB15EF"/>
    <w:rsid w:val="00CB5492"/>
    <w:rsid w:val="00CB5D02"/>
    <w:rsid w:val="00CB65ED"/>
    <w:rsid w:val="00CC0C59"/>
    <w:rsid w:val="00CC0DE7"/>
    <w:rsid w:val="00CC20CA"/>
    <w:rsid w:val="00CC2411"/>
    <w:rsid w:val="00CD3A04"/>
    <w:rsid w:val="00CD3FB7"/>
    <w:rsid w:val="00CD6143"/>
    <w:rsid w:val="00CE062B"/>
    <w:rsid w:val="00CE4669"/>
    <w:rsid w:val="00CF01B5"/>
    <w:rsid w:val="00CF0CDB"/>
    <w:rsid w:val="00CF1CC6"/>
    <w:rsid w:val="00CF1FA9"/>
    <w:rsid w:val="00CF2A57"/>
    <w:rsid w:val="00CF4557"/>
    <w:rsid w:val="00CF656B"/>
    <w:rsid w:val="00CF7257"/>
    <w:rsid w:val="00D00423"/>
    <w:rsid w:val="00D039D3"/>
    <w:rsid w:val="00D05AAD"/>
    <w:rsid w:val="00D12747"/>
    <w:rsid w:val="00D12BC2"/>
    <w:rsid w:val="00D12D4C"/>
    <w:rsid w:val="00D13B8E"/>
    <w:rsid w:val="00D21220"/>
    <w:rsid w:val="00D240E1"/>
    <w:rsid w:val="00D26A82"/>
    <w:rsid w:val="00D272A6"/>
    <w:rsid w:val="00D3043D"/>
    <w:rsid w:val="00D309A8"/>
    <w:rsid w:val="00D32798"/>
    <w:rsid w:val="00D3352A"/>
    <w:rsid w:val="00D3785D"/>
    <w:rsid w:val="00D37B03"/>
    <w:rsid w:val="00D46E36"/>
    <w:rsid w:val="00D50953"/>
    <w:rsid w:val="00D51B86"/>
    <w:rsid w:val="00D52754"/>
    <w:rsid w:val="00D539EE"/>
    <w:rsid w:val="00D547FB"/>
    <w:rsid w:val="00D56374"/>
    <w:rsid w:val="00D62E69"/>
    <w:rsid w:val="00D674BF"/>
    <w:rsid w:val="00D67771"/>
    <w:rsid w:val="00D71BCD"/>
    <w:rsid w:val="00D80AA9"/>
    <w:rsid w:val="00D86245"/>
    <w:rsid w:val="00D87BE7"/>
    <w:rsid w:val="00D90A95"/>
    <w:rsid w:val="00D90E79"/>
    <w:rsid w:val="00D914BA"/>
    <w:rsid w:val="00D91F2B"/>
    <w:rsid w:val="00D9651D"/>
    <w:rsid w:val="00D96C9E"/>
    <w:rsid w:val="00D96CEF"/>
    <w:rsid w:val="00DA0BF8"/>
    <w:rsid w:val="00DA1CBC"/>
    <w:rsid w:val="00DC13BA"/>
    <w:rsid w:val="00DC2EE1"/>
    <w:rsid w:val="00DC5D6F"/>
    <w:rsid w:val="00DC71B1"/>
    <w:rsid w:val="00DC7DAE"/>
    <w:rsid w:val="00DD4629"/>
    <w:rsid w:val="00DD6048"/>
    <w:rsid w:val="00DE1554"/>
    <w:rsid w:val="00DE31BC"/>
    <w:rsid w:val="00DE3997"/>
    <w:rsid w:val="00DE5520"/>
    <w:rsid w:val="00DE59A0"/>
    <w:rsid w:val="00DE6AE0"/>
    <w:rsid w:val="00DE77BD"/>
    <w:rsid w:val="00DF3D70"/>
    <w:rsid w:val="00DF3EA1"/>
    <w:rsid w:val="00DF5DDF"/>
    <w:rsid w:val="00DF64E2"/>
    <w:rsid w:val="00E00A03"/>
    <w:rsid w:val="00E0311D"/>
    <w:rsid w:val="00E05DC1"/>
    <w:rsid w:val="00E10459"/>
    <w:rsid w:val="00E1239D"/>
    <w:rsid w:val="00E130A9"/>
    <w:rsid w:val="00E163AC"/>
    <w:rsid w:val="00E17CA4"/>
    <w:rsid w:val="00E214D6"/>
    <w:rsid w:val="00E22F1D"/>
    <w:rsid w:val="00E231F8"/>
    <w:rsid w:val="00E23734"/>
    <w:rsid w:val="00E237A7"/>
    <w:rsid w:val="00E24CF0"/>
    <w:rsid w:val="00E24FAD"/>
    <w:rsid w:val="00E30F06"/>
    <w:rsid w:val="00E338C1"/>
    <w:rsid w:val="00E3393C"/>
    <w:rsid w:val="00E43C8E"/>
    <w:rsid w:val="00E479C4"/>
    <w:rsid w:val="00E47CAD"/>
    <w:rsid w:val="00E50579"/>
    <w:rsid w:val="00E55300"/>
    <w:rsid w:val="00E55753"/>
    <w:rsid w:val="00E61754"/>
    <w:rsid w:val="00E63238"/>
    <w:rsid w:val="00E63C6D"/>
    <w:rsid w:val="00E640BA"/>
    <w:rsid w:val="00E64E07"/>
    <w:rsid w:val="00E67598"/>
    <w:rsid w:val="00E72182"/>
    <w:rsid w:val="00E747E8"/>
    <w:rsid w:val="00E748B2"/>
    <w:rsid w:val="00E81A80"/>
    <w:rsid w:val="00E81D90"/>
    <w:rsid w:val="00E8321E"/>
    <w:rsid w:val="00E84EB6"/>
    <w:rsid w:val="00E856EF"/>
    <w:rsid w:val="00E92DB2"/>
    <w:rsid w:val="00E9372D"/>
    <w:rsid w:val="00E97519"/>
    <w:rsid w:val="00EA07E0"/>
    <w:rsid w:val="00EA6A04"/>
    <w:rsid w:val="00EA7928"/>
    <w:rsid w:val="00EB056C"/>
    <w:rsid w:val="00EB23ED"/>
    <w:rsid w:val="00EB3AD7"/>
    <w:rsid w:val="00EB48BB"/>
    <w:rsid w:val="00EB63D5"/>
    <w:rsid w:val="00EB6750"/>
    <w:rsid w:val="00EB7B89"/>
    <w:rsid w:val="00EC063D"/>
    <w:rsid w:val="00EC1592"/>
    <w:rsid w:val="00EC5962"/>
    <w:rsid w:val="00EC68A4"/>
    <w:rsid w:val="00ED0BF7"/>
    <w:rsid w:val="00ED469E"/>
    <w:rsid w:val="00ED7C02"/>
    <w:rsid w:val="00ED7D3C"/>
    <w:rsid w:val="00EE246B"/>
    <w:rsid w:val="00EE6DFD"/>
    <w:rsid w:val="00EE7077"/>
    <w:rsid w:val="00EF1721"/>
    <w:rsid w:val="00EF20DB"/>
    <w:rsid w:val="00EF646C"/>
    <w:rsid w:val="00EF74F6"/>
    <w:rsid w:val="00F0386E"/>
    <w:rsid w:val="00F04BFD"/>
    <w:rsid w:val="00F04FF8"/>
    <w:rsid w:val="00F1657D"/>
    <w:rsid w:val="00F22F33"/>
    <w:rsid w:val="00F2448E"/>
    <w:rsid w:val="00F267C0"/>
    <w:rsid w:val="00F27144"/>
    <w:rsid w:val="00F359A0"/>
    <w:rsid w:val="00F37385"/>
    <w:rsid w:val="00F40D11"/>
    <w:rsid w:val="00F416C6"/>
    <w:rsid w:val="00F4272B"/>
    <w:rsid w:val="00F473DA"/>
    <w:rsid w:val="00F5498E"/>
    <w:rsid w:val="00F61F07"/>
    <w:rsid w:val="00F62F7A"/>
    <w:rsid w:val="00F631C1"/>
    <w:rsid w:val="00F67917"/>
    <w:rsid w:val="00F7399C"/>
    <w:rsid w:val="00F739DC"/>
    <w:rsid w:val="00F76F5B"/>
    <w:rsid w:val="00F84A9A"/>
    <w:rsid w:val="00F8537F"/>
    <w:rsid w:val="00F87B08"/>
    <w:rsid w:val="00F9044E"/>
    <w:rsid w:val="00F90F7D"/>
    <w:rsid w:val="00F92D08"/>
    <w:rsid w:val="00F9333E"/>
    <w:rsid w:val="00F94E86"/>
    <w:rsid w:val="00F94EB4"/>
    <w:rsid w:val="00F952D0"/>
    <w:rsid w:val="00FA3918"/>
    <w:rsid w:val="00FB0962"/>
    <w:rsid w:val="00FB2C12"/>
    <w:rsid w:val="00FB591E"/>
    <w:rsid w:val="00FB6E7E"/>
    <w:rsid w:val="00FB71C2"/>
    <w:rsid w:val="00FC0604"/>
    <w:rsid w:val="00FC1788"/>
    <w:rsid w:val="00FC1BB3"/>
    <w:rsid w:val="00FC1DF4"/>
    <w:rsid w:val="00FC3772"/>
    <w:rsid w:val="00FD10D9"/>
    <w:rsid w:val="00FD5014"/>
    <w:rsid w:val="00FD7841"/>
    <w:rsid w:val="00FE1453"/>
    <w:rsid w:val="00FE2C8E"/>
    <w:rsid w:val="00FE322B"/>
    <w:rsid w:val="00FE628E"/>
    <w:rsid w:val="00FF01FF"/>
    <w:rsid w:val="00FF0849"/>
    <w:rsid w:val="00FF1534"/>
    <w:rsid w:val="00FF195C"/>
    <w:rsid w:val="00FF3BEF"/>
    <w:rsid w:val="00FF50E3"/>
    <w:rsid w:val="00FF5A16"/>
    <w:rsid w:val="00FF6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5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56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78030367">
      <w:bodyDiv w:val="1"/>
      <w:marLeft w:val="0"/>
      <w:marRight w:val="0"/>
      <w:marTop w:val="0"/>
      <w:marBottom w:val="0"/>
      <w:divBdr>
        <w:top w:val="none" w:sz="0" w:space="0" w:color="auto"/>
        <w:left w:val="none" w:sz="0" w:space="0" w:color="auto"/>
        <w:bottom w:val="none" w:sz="0" w:space="0" w:color="auto"/>
        <w:right w:val="none" w:sz="0" w:space="0" w:color="auto"/>
      </w:divBdr>
      <w:divsChild>
        <w:div w:id="67925660">
          <w:marLeft w:val="547"/>
          <w:marRight w:val="0"/>
          <w:marTop w:val="154"/>
          <w:marBottom w:val="0"/>
          <w:divBdr>
            <w:top w:val="none" w:sz="0" w:space="0" w:color="auto"/>
            <w:left w:val="none" w:sz="0" w:space="0" w:color="auto"/>
            <w:bottom w:val="none" w:sz="0" w:space="0" w:color="auto"/>
            <w:right w:val="none" w:sz="0" w:space="0" w:color="auto"/>
          </w:divBdr>
        </w:div>
        <w:div w:id="1930625680">
          <w:marLeft w:val="547"/>
          <w:marRight w:val="0"/>
          <w:marTop w:val="154"/>
          <w:marBottom w:val="0"/>
          <w:divBdr>
            <w:top w:val="none" w:sz="0" w:space="0" w:color="auto"/>
            <w:left w:val="none" w:sz="0" w:space="0" w:color="auto"/>
            <w:bottom w:val="none" w:sz="0" w:space="0" w:color="auto"/>
            <w:right w:val="none" w:sz="0" w:space="0" w:color="auto"/>
          </w:divBdr>
        </w:div>
        <w:div w:id="1643535303">
          <w:marLeft w:val="547"/>
          <w:marRight w:val="0"/>
          <w:marTop w:val="115"/>
          <w:marBottom w:val="0"/>
          <w:divBdr>
            <w:top w:val="none" w:sz="0" w:space="0" w:color="auto"/>
            <w:left w:val="none" w:sz="0" w:space="0" w:color="auto"/>
            <w:bottom w:val="none" w:sz="0" w:space="0" w:color="auto"/>
            <w:right w:val="none" w:sz="0" w:space="0" w:color="auto"/>
          </w:divBdr>
        </w:div>
        <w:div w:id="34041094">
          <w:marLeft w:val="547"/>
          <w:marRight w:val="0"/>
          <w:marTop w:val="115"/>
          <w:marBottom w:val="0"/>
          <w:divBdr>
            <w:top w:val="none" w:sz="0" w:space="0" w:color="auto"/>
            <w:left w:val="none" w:sz="0" w:space="0" w:color="auto"/>
            <w:bottom w:val="none" w:sz="0" w:space="0" w:color="auto"/>
            <w:right w:val="none" w:sz="0" w:space="0" w:color="auto"/>
          </w:divBdr>
        </w:div>
        <w:div w:id="858591107">
          <w:marLeft w:val="547"/>
          <w:marRight w:val="0"/>
          <w:marTop w:val="115"/>
          <w:marBottom w:val="0"/>
          <w:divBdr>
            <w:top w:val="none" w:sz="0" w:space="0" w:color="auto"/>
            <w:left w:val="none" w:sz="0" w:space="0" w:color="auto"/>
            <w:bottom w:val="none" w:sz="0" w:space="0" w:color="auto"/>
            <w:right w:val="none" w:sz="0" w:space="0" w:color="auto"/>
          </w:divBdr>
        </w:div>
        <w:div w:id="800728517">
          <w:marLeft w:val="547"/>
          <w:marRight w:val="0"/>
          <w:marTop w:val="115"/>
          <w:marBottom w:val="0"/>
          <w:divBdr>
            <w:top w:val="none" w:sz="0" w:space="0" w:color="auto"/>
            <w:left w:val="none" w:sz="0" w:space="0" w:color="auto"/>
            <w:bottom w:val="none" w:sz="0" w:space="0" w:color="auto"/>
            <w:right w:val="none" w:sz="0" w:space="0" w:color="auto"/>
          </w:divBdr>
        </w:div>
        <w:div w:id="2075855184">
          <w:marLeft w:val="547"/>
          <w:marRight w:val="0"/>
          <w:marTop w:val="115"/>
          <w:marBottom w:val="0"/>
          <w:divBdr>
            <w:top w:val="none" w:sz="0" w:space="0" w:color="auto"/>
            <w:left w:val="none" w:sz="0" w:space="0" w:color="auto"/>
            <w:bottom w:val="none" w:sz="0" w:space="0" w:color="auto"/>
            <w:right w:val="none" w:sz="0" w:space="0" w:color="auto"/>
          </w:divBdr>
        </w:div>
        <w:div w:id="1182739205">
          <w:marLeft w:val="547"/>
          <w:marRight w:val="0"/>
          <w:marTop w:val="115"/>
          <w:marBottom w:val="0"/>
          <w:divBdr>
            <w:top w:val="none" w:sz="0" w:space="0" w:color="auto"/>
            <w:left w:val="none" w:sz="0" w:space="0" w:color="auto"/>
            <w:bottom w:val="none" w:sz="0" w:space="0" w:color="auto"/>
            <w:right w:val="none" w:sz="0" w:space="0" w:color="auto"/>
          </w:divBdr>
        </w:div>
        <w:div w:id="34543823">
          <w:marLeft w:val="547"/>
          <w:marRight w:val="0"/>
          <w:marTop w:val="115"/>
          <w:marBottom w:val="0"/>
          <w:divBdr>
            <w:top w:val="none" w:sz="0" w:space="0" w:color="auto"/>
            <w:left w:val="none" w:sz="0" w:space="0" w:color="auto"/>
            <w:bottom w:val="none" w:sz="0" w:space="0" w:color="auto"/>
            <w:right w:val="none" w:sz="0" w:space="0" w:color="auto"/>
          </w:divBdr>
        </w:div>
        <w:div w:id="1484932615">
          <w:marLeft w:val="547"/>
          <w:marRight w:val="0"/>
          <w:marTop w:val="115"/>
          <w:marBottom w:val="0"/>
          <w:divBdr>
            <w:top w:val="none" w:sz="0" w:space="0" w:color="auto"/>
            <w:left w:val="none" w:sz="0" w:space="0" w:color="auto"/>
            <w:bottom w:val="none" w:sz="0" w:space="0" w:color="auto"/>
            <w:right w:val="none" w:sz="0" w:space="0" w:color="auto"/>
          </w:divBdr>
        </w:div>
        <w:div w:id="380793379">
          <w:marLeft w:val="547"/>
          <w:marRight w:val="0"/>
          <w:marTop w:val="115"/>
          <w:marBottom w:val="0"/>
          <w:divBdr>
            <w:top w:val="none" w:sz="0" w:space="0" w:color="auto"/>
            <w:left w:val="none" w:sz="0" w:space="0" w:color="auto"/>
            <w:bottom w:val="none" w:sz="0" w:space="0" w:color="auto"/>
            <w:right w:val="none" w:sz="0" w:space="0" w:color="auto"/>
          </w:divBdr>
        </w:div>
        <w:div w:id="1464157536">
          <w:marLeft w:val="547"/>
          <w:marRight w:val="0"/>
          <w:marTop w:val="115"/>
          <w:marBottom w:val="0"/>
          <w:divBdr>
            <w:top w:val="none" w:sz="0" w:space="0" w:color="auto"/>
            <w:left w:val="none" w:sz="0" w:space="0" w:color="auto"/>
            <w:bottom w:val="none" w:sz="0" w:space="0" w:color="auto"/>
            <w:right w:val="none" w:sz="0" w:space="0" w:color="auto"/>
          </w:divBdr>
        </w:div>
        <w:div w:id="2116123806">
          <w:marLeft w:val="547"/>
          <w:marRight w:val="0"/>
          <w:marTop w:val="115"/>
          <w:marBottom w:val="0"/>
          <w:divBdr>
            <w:top w:val="none" w:sz="0" w:space="0" w:color="auto"/>
            <w:left w:val="none" w:sz="0" w:space="0" w:color="auto"/>
            <w:bottom w:val="none" w:sz="0" w:space="0" w:color="auto"/>
            <w:right w:val="none" w:sz="0" w:space="0" w:color="auto"/>
          </w:divBdr>
        </w:div>
        <w:div w:id="1833178316">
          <w:marLeft w:val="547"/>
          <w:marRight w:val="0"/>
          <w:marTop w:val="154"/>
          <w:marBottom w:val="0"/>
          <w:divBdr>
            <w:top w:val="none" w:sz="0" w:space="0" w:color="auto"/>
            <w:left w:val="none" w:sz="0" w:space="0" w:color="auto"/>
            <w:bottom w:val="none" w:sz="0" w:space="0" w:color="auto"/>
            <w:right w:val="none" w:sz="0" w:space="0" w:color="auto"/>
          </w:divBdr>
        </w:div>
        <w:div w:id="1868516897">
          <w:marLeft w:val="547"/>
          <w:marRight w:val="0"/>
          <w:marTop w:val="154"/>
          <w:marBottom w:val="0"/>
          <w:divBdr>
            <w:top w:val="none" w:sz="0" w:space="0" w:color="auto"/>
            <w:left w:val="none" w:sz="0" w:space="0" w:color="auto"/>
            <w:bottom w:val="none" w:sz="0" w:space="0" w:color="auto"/>
            <w:right w:val="none" w:sz="0" w:space="0" w:color="auto"/>
          </w:divBdr>
        </w:div>
        <w:div w:id="1834371734">
          <w:marLeft w:val="547"/>
          <w:marRight w:val="0"/>
          <w:marTop w:val="154"/>
          <w:marBottom w:val="0"/>
          <w:divBdr>
            <w:top w:val="none" w:sz="0" w:space="0" w:color="auto"/>
            <w:left w:val="none" w:sz="0" w:space="0" w:color="auto"/>
            <w:bottom w:val="none" w:sz="0" w:space="0" w:color="auto"/>
            <w:right w:val="none" w:sz="0" w:space="0" w:color="auto"/>
          </w:divBdr>
        </w:div>
        <w:div w:id="2057970278">
          <w:marLeft w:val="547"/>
          <w:marRight w:val="0"/>
          <w:marTop w:val="154"/>
          <w:marBottom w:val="0"/>
          <w:divBdr>
            <w:top w:val="none" w:sz="0" w:space="0" w:color="auto"/>
            <w:left w:val="none" w:sz="0" w:space="0" w:color="auto"/>
            <w:bottom w:val="none" w:sz="0" w:space="0" w:color="auto"/>
            <w:right w:val="none" w:sz="0" w:space="0" w:color="auto"/>
          </w:divBdr>
        </w:div>
        <w:div w:id="952833337">
          <w:marLeft w:val="547"/>
          <w:marRight w:val="0"/>
          <w:marTop w:val="154"/>
          <w:marBottom w:val="0"/>
          <w:divBdr>
            <w:top w:val="none" w:sz="0" w:space="0" w:color="auto"/>
            <w:left w:val="none" w:sz="0" w:space="0" w:color="auto"/>
            <w:bottom w:val="none" w:sz="0" w:space="0" w:color="auto"/>
            <w:right w:val="none" w:sz="0" w:space="0" w:color="auto"/>
          </w:divBdr>
        </w:div>
        <w:div w:id="1198548223">
          <w:marLeft w:val="1166"/>
          <w:marRight w:val="0"/>
          <w:marTop w:val="134"/>
          <w:marBottom w:val="0"/>
          <w:divBdr>
            <w:top w:val="none" w:sz="0" w:space="0" w:color="auto"/>
            <w:left w:val="none" w:sz="0" w:space="0" w:color="auto"/>
            <w:bottom w:val="none" w:sz="0" w:space="0" w:color="auto"/>
            <w:right w:val="none" w:sz="0" w:space="0" w:color="auto"/>
          </w:divBdr>
        </w:div>
        <w:div w:id="695665910">
          <w:marLeft w:val="1166"/>
          <w:marRight w:val="0"/>
          <w:marTop w:val="134"/>
          <w:marBottom w:val="0"/>
          <w:divBdr>
            <w:top w:val="none" w:sz="0" w:space="0" w:color="auto"/>
            <w:left w:val="none" w:sz="0" w:space="0" w:color="auto"/>
            <w:bottom w:val="none" w:sz="0" w:space="0" w:color="auto"/>
            <w:right w:val="none" w:sz="0" w:space="0" w:color="auto"/>
          </w:divBdr>
        </w:div>
        <w:div w:id="1452280082">
          <w:marLeft w:val="1166"/>
          <w:marRight w:val="0"/>
          <w:marTop w:val="134"/>
          <w:marBottom w:val="0"/>
          <w:divBdr>
            <w:top w:val="none" w:sz="0" w:space="0" w:color="auto"/>
            <w:left w:val="none" w:sz="0" w:space="0" w:color="auto"/>
            <w:bottom w:val="none" w:sz="0" w:space="0" w:color="auto"/>
            <w:right w:val="none" w:sz="0" w:space="0" w:color="auto"/>
          </w:divBdr>
        </w:div>
        <w:div w:id="350568336">
          <w:marLeft w:val="547"/>
          <w:marRight w:val="0"/>
          <w:marTop w:val="154"/>
          <w:marBottom w:val="0"/>
          <w:divBdr>
            <w:top w:val="none" w:sz="0" w:space="0" w:color="auto"/>
            <w:left w:val="none" w:sz="0" w:space="0" w:color="auto"/>
            <w:bottom w:val="none" w:sz="0" w:space="0" w:color="auto"/>
            <w:right w:val="none" w:sz="0" w:space="0" w:color="auto"/>
          </w:divBdr>
        </w:div>
        <w:div w:id="363672044">
          <w:marLeft w:val="547"/>
          <w:marRight w:val="0"/>
          <w:marTop w:val="154"/>
          <w:marBottom w:val="0"/>
          <w:divBdr>
            <w:top w:val="none" w:sz="0" w:space="0" w:color="auto"/>
            <w:left w:val="none" w:sz="0" w:space="0" w:color="auto"/>
            <w:bottom w:val="none" w:sz="0" w:space="0" w:color="auto"/>
            <w:right w:val="none" w:sz="0" w:space="0" w:color="auto"/>
          </w:divBdr>
        </w:div>
        <w:div w:id="1050376339">
          <w:marLeft w:val="1166"/>
          <w:marRight w:val="0"/>
          <w:marTop w:val="134"/>
          <w:marBottom w:val="0"/>
          <w:divBdr>
            <w:top w:val="none" w:sz="0" w:space="0" w:color="auto"/>
            <w:left w:val="none" w:sz="0" w:space="0" w:color="auto"/>
            <w:bottom w:val="none" w:sz="0" w:space="0" w:color="auto"/>
            <w:right w:val="none" w:sz="0" w:space="0" w:color="auto"/>
          </w:divBdr>
        </w:div>
        <w:div w:id="1416826518">
          <w:marLeft w:val="547"/>
          <w:marRight w:val="0"/>
          <w:marTop w:val="154"/>
          <w:marBottom w:val="0"/>
          <w:divBdr>
            <w:top w:val="none" w:sz="0" w:space="0" w:color="auto"/>
            <w:left w:val="none" w:sz="0" w:space="0" w:color="auto"/>
            <w:bottom w:val="none" w:sz="0" w:space="0" w:color="auto"/>
            <w:right w:val="none" w:sz="0" w:space="0" w:color="auto"/>
          </w:divBdr>
        </w:div>
        <w:div w:id="431777030">
          <w:marLeft w:val="1166"/>
          <w:marRight w:val="0"/>
          <w:marTop w:val="134"/>
          <w:marBottom w:val="0"/>
          <w:divBdr>
            <w:top w:val="none" w:sz="0" w:space="0" w:color="auto"/>
            <w:left w:val="none" w:sz="0" w:space="0" w:color="auto"/>
            <w:bottom w:val="none" w:sz="0" w:space="0" w:color="auto"/>
            <w:right w:val="none" w:sz="0" w:space="0" w:color="auto"/>
          </w:divBdr>
        </w:div>
        <w:div w:id="784891089">
          <w:marLeft w:val="547"/>
          <w:marRight w:val="0"/>
          <w:marTop w:val="154"/>
          <w:marBottom w:val="0"/>
          <w:divBdr>
            <w:top w:val="none" w:sz="0" w:space="0" w:color="auto"/>
            <w:left w:val="none" w:sz="0" w:space="0" w:color="auto"/>
            <w:bottom w:val="none" w:sz="0" w:space="0" w:color="auto"/>
            <w:right w:val="none" w:sz="0" w:space="0" w:color="auto"/>
          </w:divBdr>
        </w:div>
        <w:div w:id="2024626088">
          <w:marLeft w:val="547"/>
          <w:marRight w:val="0"/>
          <w:marTop w:val="154"/>
          <w:marBottom w:val="0"/>
          <w:divBdr>
            <w:top w:val="none" w:sz="0" w:space="0" w:color="auto"/>
            <w:left w:val="none" w:sz="0" w:space="0" w:color="auto"/>
            <w:bottom w:val="none" w:sz="0" w:space="0" w:color="auto"/>
            <w:right w:val="none" w:sz="0" w:space="0" w:color="auto"/>
          </w:divBdr>
        </w:div>
        <w:div w:id="1907377489">
          <w:marLeft w:val="1166"/>
          <w:marRight w:val="0"/>
          <w:marTop w:val="134"/>
          <w:marBottom w:val="0"/>
          <w:divBdr>
            <w:top w:val="none" w:sz="0" w:space="0" w:color="auto"/>
            <w:left w:val="none" w:sz="0" w:space="0" w:color="auto"/>
            <w:bottom w:val="none" w:sz="0" w:space="0" w:color="auto"/>
            <w:right w:val="none" w:sz="0" w:space="0" w:color="auto"/>
          </w:divBdr>
        </w:div>
        <w:div w:id="1563178345">
          <w:marLeft w:val="547"/>
          <w:marRight w:val="0"/>
          <w:marTop w:val="154"/>
          <w:marBottom w:val="0"/>
          <w:divBdr>
            <w:top w:val="none" w:sz="0" w:space="0" w:color="auto"/>
            <w:left w:val="none" w:sz="0" w:space="0" w:color="auto"/>
            <w:bottom w:val="none" w:sz="0" w:space="0" w:color="auto"/>
            <w:right w:val="none" w:sz="0" w:space="0" w:color="auto"/>
          </w:divBdr>
        </w:div>
        <w:div w:id="529419140">
          <w:marLeft w:val="1166"/>
          <w:marRight w:val="0"/>
          <w:marTop w:val="134"/>
          <w:marBottom w:val="0"/>
          <w:divBdr>
            <w:top w:val="none" w:sz="0" w:space="0" w:color="auto"/>
            <w:left w:val="none" w:sz="0" w:space="0" w:color="auto"/>
            <w:bottom w:val="none" w:sz="0" w:space="0" w:color="auto"/>
            <w:right w:val="none" w:sz="0" w:space="0" w:color="auto"/>
          </w:divBdr>
        </w:div>
        <w:div w:id="817263041">
          <w:marLeft w:val="547"/>
          <w:marRight w:val="0"/>
          <w:marTop w:val="154"/>
          <w:marBottom w:val="0"/>
          <w:divBdr>
            <w:top w:val="none" w:sz="0" w:space="0" w:color="auto"/>
            <w:left w:val="none" w:sz="0" w:space="0" w:color="auto"/>
            <w:bottom w:val="none" w:sz="0" w:space="0" w:color="auto"/>
            <w:right w:val="none" w:sz="0" w:space="0" w:color="auto"/>
          </w:divBdr>
        </w:div>
        <w:div w:id="836650388">
          <w:marLeft w:val="547"/>
          <w:marRight w:val="0"/>
          <w:marTop w:val="154"/>
          <w:marBottom w:val="0"/>
          <w:divBdr>
            <w:top w:val="none" w:sz="0" w:space="0" w:color="auto"/>
            <w:left w:val="none" w:sz="0" w:space="0" w:color="auto"/>
            <w:bottom w:val="none" w:sz="0" w:space="0" w:color="auto"/>
            <w:right w:val="none" w:sz="0" w:space="0" w:color="auto"/>
          </w:divBdr>
        </w:div>
        <w:div w:id="1362321857">
          <w:marLeft w:val="1166"/>
          <w:marRight w:val="0"/>
          <w:marTop w:val="134"/>
          <w:marBottom w:val="0"/>
          <w:divBdr>
            <w:top w:val="none" w:sz="0" w:space="0" w:color="auto"/>
            <w:left w:val="none" w:sz="0" w:space="0" w:color="auto"/>
            <w:bottom w:val="none" w:sz="0" w:space="0" w:color="auto"/>
            <w:right w:val="none" w:sz="0" w:space="0" w:color="auto"/>
          </w:divBdr>
        </w:div>
        <w:div w:id="1556088726">
          <w:marLeft w:val="547"/>
          <w:marRight w:val="0"/>
          <w:marTop w:val="154"/>
          <w:marBottom w:val="0"/>
          <w:divBdr>
            <w:top w:val="none" w:sz="0" w:space="0" w:color="auto"/>
            <w:left w:val="none" w:sz="0" w:space="0" w:color="auto"/>
            <w:bottom w:val="none" w:sz="0" w:space="0" w:color="auto"/>
            <w:right w:val="none" w:sz="0" w:space="0" w:color="auto"/>
          </w:divBdr>
        </w:div>
        <w:div w:id="17390577">
          <w:marLeft w:val="1166"/>
          <w:marRight w:val="0"/>
          <w:marTop w:val="134"/>
          <w:marBottom w:val="0"/>
          <w:divBdr>
            <w:top w:val="none" w:sz="0" w:space="0" w:color="auto"/>
            <w:left w:val="none" w:sz="0" w:space="0" w:color="auto"/>
            <w:bottom w:val="none" w:sz="0" w:space="0" w:color="auto"/>
            <w:right w:val="none" w:sz="0" w:space="0" w:color="auto"/>
          </w:divBdr>
        </w:div>
        <w:div w:id="1451052168">
          <w:marLeft w:val="547"/>
          <w:marRight w:val="0"/>
          <w:marTop w:val="154"/>
          <w:marBottom w:val="0"/>
          <w:divBdr>
            <w:top w:val="none" w:sz="0" w:space="0" w:color="auto"/>
            <w:left w:val="none" w:sz="0" w:space="0" w:color="auto"/>
            <w:bottom w:val="none" w:sz="0" w:space="0" w:color="auto"/>
            <w:right w:val="none" w:sz="0" w:space="0" w:color="auto"/>
          </w:divBdr>
        </w:div>
        <w:div w:id="726804576">
          <w:marLeft w:val="1166"/>
          <w:marRight w:val="0"/>
          <w:marTop w:val="134"/>
          <w:marBottom w:val="0"/>
          <w:divBdr>
            <w:top w:val="none" w:sz="0" w:space="0" w:color="auto"/>
            <w:left w:val="none" w:sz="0" w:space="0" w:color="auto"/>
            <w:bottom w:val="none" w:sz="0" w:space="0" w:color="auto"/>
            <w:right w:val="none" w:sz="0" w:space="0" w:color="auto"/>
          </w:divBdr>
        </w:div>
        <w:div w:id="1852836865">
          <w:marLeft w:val="547"/>
          <w:marRight w:val="0"/>
          <w:marTop w:val="154"/>
          <w:marBottom w:val="0"/>
          <w:divBdr>
            <w:top w:val="none" w:sz="0" w:space="0" w:color="auto"/>
            <w:left w:val="none" w:sz="0" w:space="0" w:color="auto"/>
            <w:bottom w:val="none" w:sz="0" w:space="0" w:color="auto"/>
            <w:right w:val="none" w:sz="0" w:space="0" w:color="auto"/>
          </w:divBdr>
        </w:div>
        <w:div w:id="339816829">
          <w:marLeft w:val="547"/>
          <w:marRight w:val="0"/>
          <w:marTop w:val="154"/>
          <w:marBottom w:val="0"/>
          <w:divBdr>
            <w:top w:val="none" w:sz="0" w:space="0" w:color="auto"/>
            <w:left w:val="none" w:sz="0" w:space="0" w:color="auto"/>
            <w:bottom w:val="none" w:sz="0" w:space="0" w:color="auto"/>
            <w:right w:val="none" w:sz="0" w:space="0" w:color="auto"/>
          </w:divBdr>
        </w:div>
        <w:div w:id="360017470">
          <w:marLeft w:val="547"/>
          <w:marRight w:val="0"/>
          <w:marTop w:val="154"/>
          <w:marBottom w:val="0"/>
          <w:divBdr>
            <w:top w:val="none" w:sz="0" w:space="0" w:color="auto"/>
            <w:left w:val="none" w:sz="0" w:space="0" w:color="auto"/>
            <w:bottom w:val="none" w:sz="0" w:space="0" w:color="auto"/>
            <w:right w:val="none" w:sz="0" w:space="0" w:color="auto"/>
          </w:divBdr>
        </w:div>
        <w:div w:id="1974213569">
          <w:marLeft w:val="547"/>
          <w:marRight w:val="0"/>
          <w:marTop w:val="154"/>
          <w:marBottom w:val="0"/>
          <w:divBdr>
            <w:top w:val="none" w:sz="0" w:space="0" w:color="auto"/>
            <w:left w:val="none" w:sz="0" w:space="0" w:color="auto"/>
            <w:bottom w:val="none" w:sz="0" w:space="0" w:color="auto"/>
            <w:right w:val="none" w:sz="0" w:space="0" w:color="auto"/>
          </w:divBdr>
        </w:div>
        <w:div w:id="1229420090">
          <w:marLeft w:val="547"/>
          <w:marRight w:val="0"/>
          <w:marTop w:val="154"/>
          <w:marBottom w:val="0"/>
          <w:divBdr>
            <w:top w:val="none" w:sz="0" w:space="0" w:color="auto"/>
            <w:left w:val="none" w:sz="0" w:space="0" w:color="auto"/>
            <w:bottom w:val="none" w:sz="0" w:space="0" w:color="auto"/>
            <w:right w:val="none" w:sz="0" w:space="0" w:color="auto"/>
          </w:divBdr>
        </w:div>
        <w:div w:id="967081123">
          <w:marLeft w:val="1166"/>
          <w:marRight w:val="0"/>
          <w:marTop w:val="134"/>
          <w:marBottom w:val="0"/>
          <w:divBdr>
            <w:top w:val="none" w:sz="0" w:space="0" w:color="auto"/>
            <w:left w:val="none" w:sz="0" w:space="0" w:color="auto"/>
            <w:bottom w:val="none" w:sz="0" w:space="0" w:color="auto"/>
            <w:right w:val="none" w:sz="0" w:space="0" w:color="auto"/>
          </w:divBdr>
        </w:div>
        <w:div w:id="892540423">
          <w:marLeft w:val="1166"/>
          <w:marRight w:val="0"/>
          <w:marTop w:val="134"/>
          <w:marBottom w:val="0"/>
          <w:divBdr>
            <w:top w:val="none" w:sz="0" w:space="0" w:color="auto"/>
            <w:left w:val="none" w:sz="0" w:space="0" w:color="auto"/>
            <w:bottom w:val="none" w:sz="0" w:space="0" w:color="auto"/>
            <w:right w:val="none" w:sz="0" w:space="0" w:color="auto"/>
          </w:divBdr>
        </w:div>
        <w:div w:id="409545873">
          <w:marLeft w:val="547"/>
          <w:marRight w:val="0"/>
          <w:marTop w:val="154"/>
          <w:marBottom w:val="0"/>
          <w:divBdr>
            <w:top w:val="none" w:sz="0" w:space="0" w:color="auto"/>
            <w:left w:val="none" w:sz="0" w:space="0" w:color="auto"/>
            <w:bottom w:val="none" w:sz="0" w:space="0" w:color="auto"/>
            <w:right w:val="none" w:sz="0" w:space="0" w:color="auto"/>
          </w:divBdr>
        </w:div>
        <w:div w:id="1468012574">
          <w:marLeft w:val="1166"/>
          <w:marRight w:val="0"/>
          <w:marTop w:val="134"/>
          <w:marBottom w:val="0"/>
          <w:divBdr>
            <w:top w:val="none" w:sz="0" w:space="0" w:color="auto"/>
            <w:left w:val="none" w:sz="0" w:space="0" w:color="auto"/>
            <w:bottom w:val="none" w:sz="0" w:space="0" w:color="auto"/>
            <w:right w:val="none" w:sz="0" w:space="0" w:color="auto"/>
          </w:divBdr>
        </w:div>
        <w:div w:id="1147549960">
          <w:marLeft w:val="547"/>
          <w:marRight w:val="0"/>
          <w:marTop w:val="154"/>
          <w:marBottom w:val="0"/>
          <w:divBdr>
            <w:top w:val="none" w:sz="0" w:space="0" w:color="auto"/>
            <w:left w:val="none" w:sz="0" w:space="0" w:color="auto"/>
            <w:bottom w:val="none" w:sz="0" w:space="0" w:color="auto"/>
            <w:right w:val="none" w:sz="0" w:space="0" w:color="auto"/>
          </w:divBdr>
        </w:div>
        <w:div w:id="2025983663">
          <w:marLeft w:val="547"/>
          <w:marRight w:val="0"/>
          <w:marTop w:val="154"/>
          <w:marBottom w:val="0"/>
          <w:divBdr>
            <w:top w:val="none" w:sz="0" w:space="0" w:color="auto"/>
            <w:left w:val="none" w:sz="0" w:space="0" w:color="auto"/>
            <w:bottom w:val="none" w:sz="0" w:space="0" w:color="auto"/>
            <w:right w:val="none" w:sz="0" w:space="0" w:color="auto"/>
          </w:divBdr>
        </w:div>
        <w:div w:id="1640962420">
          <w:marLeft w:val="547"/>
          <w:marRight w:val="0"/>
          <w:marTop w:val="154"/>
          <w:marBottom w:val="0"/>
          <w:divBdr>
            <w:top w:val="none" w:sz="0" w:space="0" w:color="auto"/>
            <w:left w:val="none" w:sz="0" w:space="0" w:color="auto"/>
            <w:bottom w:val="none" w:sz="0" w:space="0" w:color="auto"/>
            <w:right w:val="none" w:sz="0" w:space="0" w:color="auto"/>
          </w:divBdr>
        </w:div>
        <w:div w:id="289556586">
          <w:marLeft w:val="547"/>
          <w:marRight w:val="0"/>
          <w:marTop w:val="154"/>
          <w:marBottom w:val="0"/>
          <w:divBdr>
            <w:top w:val="none" w:sz="0" w:space="0" w:color="auto"/>
            <w:left w:val="none" w:sz="0" w:space="0" w:color="auto"/>
            <w:bottom w:val="none" w:sz="0" w:space="0" w:color="auto"/>
            <w:right w:val="none" w:sz="0" w:space="0" w:color="auto"/>
          </w:divBdr>
        </w:div>
        <w:div w:id="693574966">
          <w:marLeft w:val="547"/>
          <w:marRight w:val="0"/>
          <w:marTop w:val="154"/>
          <w:marBottom w:val="0"/>
          <w:divBdr>
            <w:top w:val="none" w:sz="0" w:space="0" w:color="auto"/>
            <w:left w:val="none" w:sz="0" w:space="0" w:color="auto"/>
            <w:bottom w:val="none" w:sz="0" w:space="0" w:color="auto"/>
            <w:right w:val="none" w:sz="0" w:space="0" w:color="auto"/>
          </w:divBdr>
        </w:div>
        <w:div w:id="981467211">
          <w:marLeft w:val="1267"/>
          <w:marRight w:val="0"/>
          <w:marTop w:val="101"/>
          <w:marBottom w:val="0"/>
          <w:divBdr>
            <w:top w:val="none" w:sz="0" w:space="0" w:color="auto"/>
            <w:left w:val="none" w:sz="0" w:space="0" w:color="auto"/>
            <w:bottom w:val="none" w:sz="0" w:space="0" w:color="auto"/>
            <w:right w:val="none" w:sz="0" w:space="0" w:color="auto"/>
          </w:divBdr>
        </w:div>
        <w:div w:id="1341346129">
          <w:marLeft w:val="1267"/>
          <w:marRight w:val="0"/>
          <w:marTop w:val="101"/>
          <w:marBottom w:val="0"/>
          <w:divBdr>
            <w:top w:val="none" w:sz="0" w:space="0" w:color="auto"/>
            <w:left w:val="none" w:sz="0" w:space="0" w:color="auto"/>
            <w:bottom w:val="none" w:sz="0" w:space="0" w:color="auto"/>
            <w:right w:val="none" w:sz="0" w:space="0" w:color="auto"/>
          </w:divBdr>
        </w:div>
        <w:div w:id="1012951606">
          <w:marLeft w:val="1267"/>
          <w:marRight w:val="0"/>
          <w:marTop w:val="101"/>
          <w:marBottom w:val="0"/>
          <w:divBdr>
            <w:top w:val="none" w:sz="0" w:space="0" w:color="auto"/>
            <w:left w:val="none" w:sz="0" w:space="0" w:color="auto"/>
            <w:bottom w:val="none" w:sz="0" w:space="0" w:color="auto"/>
            <w:right w:val="none" w:sz="0" w:space="0" w:color="auto"/>
          </w:divBdr>
        </w:div>
        <w:div w:id="1369180348">
          <w:marLeft w:val="1267"/>
          <w:marRight w:val="0"/>
          <w:marTop w:val="101"/>
          <w:marBottom w:val="0"/>
          <w:divBdr>
            <w:top w:val="none" w:sz="0" w:space="0" w:color="auto"/>
            <w:left w:val="none" w:sz="0" w:space="0" w:color="auto"/>
            <w:bottom w:val="none" w:sz="0" w:space="0" w:color="auto"/>
            <w:right w:val="none" w:sz="0" w:space="0" w:color="auto"/>
          </w:divBdr>
        </w:div>
        <w:div w:id="326715608">
          <w:marLeft w:val="547"/>
          <w:marRight w:val="0"/>
          <w:marTop w:val="154"/>
          <w:marBottom w:val="0"/>
          <w:divBdr>
            <w:top w:val="none" w:sz="0" w:space="0" w:color="auto"/>
            <w:left w:val="none" w:sz="0" w:space="0" w:color="auto"/>
            <w:bottom w:val="none" w:sz="0" w:space="0" w:color="auto"/>
            <w:right w:val="none" w:sz="0" w:space="0" w:color="auto"/>
          </w:divBdr>
        </w:div>
        <w:div w:id="824978448">
          <w:marLeft w:val="547"/>
          <w:marRight w:val="0"/>
          <w:marTop w:val="154"/>
          <w:marBottom w:val="0"/>
          <w:divBdr>
            <w:top w:val="none" w:sz="0" w:space="0" w:color="auto"/>
            <w:left w:val="none" w:sz="0" w:space="0" w:color="auto"/>
            <w:bottom w:val="none" w:sz="0" w:space="0" w:color="auto"/>
            <w:right w:val="none" w:sz="0" w:space="0" w:color="auto"/>
          </w:divBdr>
        </w:div>
        <w:div w:id="2139033619">
          <w:marLeft w:val="1166"/>
          <w:marRight w:val="0"/>
          <w:marTop w:val="134"/>
          <w:marBottom w:val="0"/>
          <w:divBdr>
            <w:top w:val="none" w:sz="0" w:space="0" w:color="auto"/>
            <w:left w:val="none" w:sz="0" w:space="0" w:color="auto"/>
            <w:bottom w:val="none" w:sz="0" w:space="0" w:color="auto"/>
            <w:right w:val="none" w:sz="0" w:space="0" w:color="auto"/>
          </w:divBdr>
        </w:div>
        <w:div w:id="636686013">
          <w:marLeft w:val="1166"/>
          <w:marRight w:val="0"/>
          <w:marTop w:val="134"/>
          <w:marBottom w:val="0"/>
          <w:divBdr>
            <w:top w:val="none" w:sz="0" w:space="0" w:color="auto"/>
            <w:left w:val="none" w:sz="0" w:space="0" w:color="auto"/>
            <w:bottom w:val="none" w:sz="0" w:space="0" w:color="auto"/>
            <w:right w:val="none" w:sz="0" w:space="0" w:color="auto"/>
          </w:divBdr>
        </w:div>
        <w:div w:id="2135443744">
          <w:marLeft w:val="1166"/>
          <w:marRight w:val="0"/>
          <w:marTop w:val="134"/>
          <w:marBottom w:val="0"/>
          <w:divBdr>
            <w:top w:val="none" w:sz="0" w:space="0" w:color="auto"/>
            <w:left w:val="none" w:sz="0" w:space="0" w:color="auto"/>
            <w:bottom w:val="none" w:sz="0" w:space="0" w:color="auto"/>
            <w:right w:val="none" w:sz="0" w:space="0" w:color="auto"/>
          </w:divBdr>
        </w:div>
        <w:div w:id="1626811144">
          <w:marLeft w:val="547"/>
          <w:marRight w:val="0"/>
          <w:marTop w:val="154"/>
          <w:marBottom w:val="0"/>
          <w:divBdr>
            <w:top w:val="none" w:sz="0" w:space="0" w:color="auto"/>
            <w:left w:val="none" w:sz="0" w:space="0" w:color="auto"/>
            <w:bottom w:val="none" w:sz="0" w:space="0" w:color="auto"/>
            <w:right w:val="none" w:sz="0" w:space="0" w:color="auto"/>
          </w:divBdr>
        </w:div>
        <w:div w:id="1700006185">
          <w:marLeft w:val="547"/>
          <w:marRight w:val="0"/>
          <w:marTop w:val="154"/>
          <w:marBottom w:val="0"/>
          <w:divBdr>
            <w:top w:val="none" w:sz="0" w:space="0" w:color="auto"/>
            <w:left w:val="none" w:sz="0" w:space="0" w:color="auto"/>
            <w:bottom w:val="none" w:sz="0" w:space="0" w:color="auto"/>
            <w:right w:val="none" w:sz="0" w:space="0" w:color="auto"/>
          </w:divBdr>
        </w:div>
        <w:div w:id="79955880">
          <w:marLeft w:val="547"/>
          <w:marRight w:val="0"/>
          <w:marTop w:val="154"/>
          <w:marBottom w:val="0"/>
          <w:divBdr>
            <w:top w:val="none" w:sz="0" w:space="0" w:color="auto"/>
            <w:left w:val="none" w:sz="0" w:space="0" w:color="auto"/>
            <w:bottom w:val="none" w:sz="0" w:space="0" w:color="auto"/>
            <w:right w:val="none" w:sz="0" w:space="0" w:color="auto"/>
          </w:divBdr>
        </w:div>
        <w:div w:id="1307472185">
          <w:marLeft w:val="547"/>
          <w:marRight w:val="0"/>
          <w:marTop w:val="154"/>
          <w:marBottom w:val="0"/>
          <w:divBdr>
            <w:top w:val="none" w:sz="0" w:space="0" w:color="auto"/>
            <w:left w:val="none" w:sz="0" w:space="0" w:color="auto"/>
            <w:bottom w:val="none" w:sz="0" w:space="0" w:color="auto"/>
            <w:right w:val="none" w:sz="0" w:space="0" w:color="auto"/>
          </w:divBdr>
        </w:div>
        <w:div w:id="1282149168">
          <w:marLeft w:val="547"/>
          <w:marRight w:val="0"/>
          <w:marTop w:val="154"/>
          <w:marBottom w:val="0"/>
          <w:divBdr>
            <w:top w:val="none" w:sz="0" w:space="0" w:color="auto"/>
            <w:left w:val="none" w:sz="0" w:space="0" w:color="auto"/>
            <w:bottom w:val="none" w:sz="0" w:space="0" w:color="auto"/>
            <w:right w:val="none" w:sz="0" w:space="0" w:color="auto"/>
          </w:divBdr>
        </w:div>
        <w:div w:id="1050031870">
          <w:marLeft w:val="547"/>
          <w:marRight w:val="0"/>
          <w:marTop w:val="154"/>
          <w:marBottom w:val="0"/>
          <w:divBdr>
            <w:top w:val="none" w:sz="0" w:space="0" w:color="auto"/>
            <w:left w:val="none" w:sz="0" w:space="0" w:color="auto"/>
            <w:bottom w:val="none" w:sz="0" w:space="0" w:color="auto"/>
            <w:right w:val="none" w:sz="0" w:space="0" w:color="auto"/>
          </w:divBdr>
        </w:div>
        <w:div w:id="1207909741">
          <w:marLeft w:val="547"/>
          <w:marRight w:val="0"/>
          <w:marTop w:val="154"/>
          <w:marBottom w:val="0"/>
          <w:divBdr>
            <w:top w:val="none" w:sz="0" w:space="0" w:color="auto"/>
            <w:left w:val="none" w:sz="0" w:space="0" w:color="auto"/>
            <w:bottom w:val="none" w:sz="0" w:space="0" w:color="auto"/>
            <w:right w:val="none" w:sz="0" w:space="0" w:color="auto"/>
          </w:divBdr>
        </w:div>
        <w:div w:id="657657472">
          <w:marLeft w:val="547"/>
          <w:marRight w:val="0"/>
          <w:marTop w:val="154"/>
          <w:marBottom w:val="0"/>
          <w:divBdr>
            <w:top w:val="none" w:sz="0" w:space="0" w:color="auto"/>
            <w:left w:val="none" w:sz="0" w:space="0" w:color="auto"/>
            <w:bottom w:val="none" w:sz="0" w:space="0" w:color="auto"/>
            <w:right w:val="none" w:sz="0" w:space="0" w:color="auto"/>
          </w:divBdr>
        </w:div>
        <w:div w:id="1373921753">
          <w:marLeft w:val="547"/>
          <w:marRight w:val="0"/>
          <w:marTop w:val="154"/>
          <w:marBottom w:val="0"/>
          <w:divBdr>
            <w:top w:val="none" w:sz="0" w:space="0" w:color="auto"/>
            <w:left w:val="none" w:sz="0" w:space="0" w:color="auto"/>
            <w:bottom w:val="none" w:sz="0" w:space="0" w:color="auto"/>
            <w:right w:val="none" w:sz="0" w:space="0" w:color="auto"/>
          </w:divBdr>
        </w:div>
        <w:div w:id="1674332158">
          <w:marLeft w:val="547"/>
          <w:marRight w:val="0"/>
          <w:marTop w:val="154"/>
          <w:marBottom w:val="0"/>
          <w:divBdr>
            <w:top w:val="none" w:sz="0" w:space="0" w:color="auto"/>
            <w:left w:val="none" w:sz="0" w:space="0" w:color="auto"/>
            <w:bottom w:val="none" w:sz="0" w:space="0" w:color="auto"/>
            <w:right w:val="none" w:sz="0" w:space="0" w:color="auto"/>
          </w:divBdr>
        </w:div>
        <w:div w:id="1736705676">
          <w:marLeft w:val="547"/>
          <w:marRight w:val="0"/>
          <w:marTop w:val="154"/>
          <w:marBottom w:val="0"/>
          <w:divBdr>
            <w:top w:val="none" w:sz="0" w:space="0" w:color="auto"/>
            <w:left w:val="none" w:sz="0" w:space="0" w:color="auto"/>
            <w:bottom w:val="none" w:sz="0" w:space="0" w:color="auto"/>
            <w:right w:val="none" w:sz="0" w:space="0" w:color="auto"/>
          </w:divBdr>
        </w:div>
        <w:div w:id="941259150">
          <w:marLeft w:val="1267"/>
          <w:marRight w:val="0"/>
          <w:marTop w:val="101"/>
          <w:marBottom w:val="0"/>
          <w:divBdr>
            <w:top w:val="none" w:sz="0" w:space="0" w:color="auto"/>
            <w:left w:val="none" w:sz="0" w:space="0" w:color="auto"/>
            <w:bottom w:val="none" w:sz="0" w:space="0" w:color="auto"/>
            <w:right w:val="none" w:sz="0" w:space="0" w:color="auto"/>
          </w:divBdr>
        </w:div>
        <w:div w:id="2071533621">
          <w:marLeft w:val="1267"/>
          <w:marRight w:val="0"/>
          <w:marTop w:val="101"/>
          <w:marBottom w:val="0"/>
          <w:divBdr>
            <w:top w:val="none" w:sz="0" w:space="0" w:color="auto"/>
            <w:left w:val="none" w:sz="0" w:space="0" w:color="auto"/>
            <w:bottom w:val="none" w:sz="0" w:space="0" w:color="auto"/>
            <w:right w:val="none" w:sz="0" w:space="0" w:color="auto"/>
          </w:divBdr>
        </w:div>
        <w:div w:id="642924368">
          <w:marLeft w:val="1267"/>
          <w:marRight w:val="0"/>
          <w:marTop w:val="101"/>
          <w:marBottom w:val="0"/>
          <w:divBdr>
            <w:top w:val="none" w:sz="0" w:space="0" w:color="auto"/>
            <w:left w:val="none" w:sz="0" w:space="0" w:color="auto"/>
            <w:bottom w:val="none" w:sz="0" w:space="0" w:color="auto"/>
            <w:right w:val="none" w:sz="0" w:space="0" w:color="auto"/>
          </w:divBdr>
        </w:div>
        <w:div w:id="105807468">
          <w:marLeft w:val="547"/>
          <w:marRight w:val="0"/>
          <w:marTop w:val="154"/>
          <w:marBottom w:val="0"/>
          <w:divBdr>
            <w:top w:val="none" w:sz="0" w:space="0" w:color="auto"/>
            <w:left w:val="none" w:sz="0" w:space="0" w:color="auto"/>
            <w:bottom w:val="none" w:sz="0" w:space="0" w:color="auto"/>
            <w:right w:val="none" w:sz="0" w:space="0" w:color="auto"/>
          </w:divBdr>
        </w:div>
        <w:div w:id="697775533">
          <w:marLeft w:val="1267"/>
          <w:marRight w:val="0"/>
          <w:marTop w:val="101"/>
          <w:marBottom w:val="0"/>
          <w:divBdr>
            <w:top w:val="none" w:sz="0" w:space="0" w:color="auto"/>
            <w:left w:val="none" w:sz="0" w:space="0" w:color="auto"/>
            <w:bottom w:val="none" w:sz="0" w:space="0" w:color="auto"/>
            <w:right w:val="none" w:sz="0" w:space="0" w:color="auto"/>
          </w:divBdr>
        </w:div>
        <w:div w:id="1017804226">
          <w:marLeft w:val="547"/>
          <w:marRight w:val="0"/>
          <w:marTop w:val="154"/>
          <w:marBottom w:val="0"/>
          <w:divBdr>
            <w:top w:val="none" w:sz="0" w:space="0" w:color="auto"/>
            <w:left w:val="none" w:sz="0" w:space="0" w:color="auto"/>
            <w:bottom w:val="none" w:sz="0" w:space="0" w:color="auto"/>
            <w:right w:val="none" w:sz="0" w:space="0" w:color="auto"/>
          </w:divBdr>
        </w:div>
        <w:div w:id="1174806739">
          <w:marLeft w:val="547"/>
          <w:marRight w:val="0"/>
          <w:marTop w:val="154"/>
          <w:marBottom w:val="0"/>
          <w:divBdr>
            <w:top w:val="none" w:sz="0" w:space="0" w:color="auto"/>
            <w:left w:val="none" w:sz="0" w:space="0" w:color="auto"/>
            <w:bottom w:val="none" w:sz="0" w:space="0" w:color="auto"/>
            <w:right w:val="none" w:sz="0" w:space="0" w:color="auto"/>
          </w:divBdr>
        </w:div>
        <w:div w:id="1115447450">
          <w:marLeft w:val="547"/>
          <w:marRight w:val="0"/>
          <w:marTop w:val="154"/>
          <w:marBottom w:val="0"/>
          <w:divBdr>
            <w:top w:val="none" w:sz="0" w:space="0" w:color="auto"/>
            <w:left w:val="none" w:sz="0" w:space="0" w:color="auto"/>
            <w:bottom w:val="none" w:sz="0" w:space="0" w:color="auto"/>
            <w:right w:val="none" w:sz="0" w:space="0" w:color="auto"/>
          </w:divBdr>
        </w:div>
        <w:div w:id="317149525">
          <w:marLeft w:val="547"/>
          <w:marRight w:val="0"/>
          <w:marTop w:val="154"/>
          <w:marBottom w:val="0"/>
          <w:divBdr>
            <w:top w:val="none" w:sz="0" w:space="0" w:color="auto"/>
            <w:left w:val="none" w:sz="0" w:space="0" w:color="auto"/>
            <w:bottom w:val="none" w:sz="0" w:space="0" w:color="auto"/>
            <w:right w:val="none" w:sz="0" w:space="0" w:color="auto"/>
          </w:divBdr>
        </w:div>
        <w:div w:id="1379279923">
          <w:marLeft w:val="547"/>
          <w:marRight w:val="0"/>
          <w:marTop w:val="154"/>
          <w:marBottom w:val="0"/>
          <w:divBdr>
            <w:top w:val="none" w:sz="0" w:space="0" w:color="auto"/>
            <w:left w:val="none" w:sz="0" w:space="0" w:color="auto"/>
            <w:bottom w:val="none" w:sz="0" w:space="0" w:color="auto"/>
            <w:right w:val="none" w:sz="0" w:space="0" w:color="auto"/>
          </w:divBdr>
        </w:div>
        <w:div w:id="1128822436">
          <w:marLeft w:val="547"/>
          <w:marRight w:val="0"/>
          <w:marTop w:val="154"/>
          <w:marBottom w:val="0"/>
          <w:divBdr>
            <w:top w:val="none" w:sz="0" w:space="0" w:color="auto"/>
            <w:left w:val="none" w:sz="0" w:space="0" w:color="auto"/>
            <w:bottom w:val="none" w:sz="0" w:space="0" w:color="auto"/>
            <w:right w:val="none" w:sz="0" w:space="0" w:color="auto"/>
          </w:divBdr>
        </w:div>
        <w:div w:id="669605773">
          <w:marLeft w:val="547"/>
          <w:marRight w:val="0"/>
          <w:marTop w:val="154"/>
          <w:marBottom w:val="0"/>
          <w:divBdr>
            <w:top w:val="none" w:sz="0" w:space="0" w:color="auto"/>
            <w:left w:val="none" w:sz="0" w:space="0" w:color="auto"/>
            <w:bottom w:val="none" w:sz="0" w:space="0" w:color="auto"/>
            <w:right w:val="none" w:sz="0" w:space="0" w:color="auto"/>
          </w:divBdr>
        </w:div>
        <w:div w:id="919369840">
          <w:marLeft w:val="547"/>
          <w:marRight w:val="0"/>
          <w:marTop w:val="154"/>
          <w:marBottom w:val="0"/>
          <w:divBdr>
            <w:top w:val="none" w:sz="0" w:space="0" w:color="auto"/>
            <w:left w:val="none" w:sz="0" w:space="0" w:color="auto"/>
            <w:bottom w:val="none" w:sz="0" w:space="0" w:color="auto"/>
            <w:right w:val="none" w:sz="0" w:space="0" w:color="auto"/>
          </w:divBdr>
        </w:div>
        <w:div w:id="2147120272">
          <w:marLeft w:val="547"/>
          <w:marRight w:val="0"/>
          <w:marTop w:val="154"/>
          <w:marBottom w:val="0"/>
          <w:divBdr>
            <w:top w:val="none" w:sz="0" w:space="0" w:color="auto"/>
            <w:left w:val="none" w:sz="0" w:space="0" w:color="auto"/>
            <w:bottom w:val="none" w:sz="0" w:space="0" w:color="auto"/>
            <w:right w:val="none" w:sz="0" w:space="0" w:color="auto"/>
          </w:divBdr>
        </w:div>
        <w:div w:id="1345403043">
          <w:marLeft w:val="547"/>
          <w:marRight w:val="0"/>
          <w:marTop w:val="154"/>
          <w:marBottom w:val="0"/>
          <w:divBdr>
            <w:top w:val="none" w:sz="0" w:space="0" w:color="auto"/>
            <w:left w:val="none" w:sz="0" w:space="0" w:color="auto"/>
            <w:bottom w:val="none" w:sz="0" w:space="0" w:color="auto"/>
            <w:right w:val="none" w:sz="0" w:space="0" w:color="auto"/>
          </w:divBdr>
        </w:div>
        <w:div w:id="1744715277">
          <w:marLeft w:val="547"/>
          <w:marRight w:val="0"/>
          <w:marTop w:val="154"/>
          <w:marBottom w:val="0"/>
          <w:divBdr>
            <w:top w:val="none" w:sz="0" w:space="0" w:color="auto"/>
            <w:left w:val="none" w:sz="0" w:space="0" w:color="auto"/>
            <w:bottom w:val="none" w:sz="0" w:space="0" w:color="auto"/>
            <w:right w:val="none" w:sz="0" w:space="0" w:color="auto"/>
          </w:divBdr>
        </w:div>
        <w:div w:id="609557429">
          <w:marLeft w:val="547"/>
          <w:marRight w:val="0"/>
          <w:marTop w:val="154"/>
          <w:marBottom w:val="0"/>
          <w:divBdr>
            <w:top w:val="none" w:sz="0" w:space="0" w:color="auto"/>
            <w:left w:val="none" w:sz="0" w:space="0" w:color="auto"/>
            <w:bottom w:val="none" w:sz="0" w:space="0" w:color="auto"/>
            <w:right w:val="none" w:sz="0" w:space="0" w:color="auto"/>
          </w:divBdr>
        </w:div>
        <w:div w:id="1889878583">
          <w:marLeft w:val="547"/>
          <w:marRight w:val="0"/>
          <w:marTop w:val="154"/>
          <w:marBottom w:val="0"/>
          <w:divBdr>
            <w:top w:val="none" w:sz="0" w:space="0" w:color="auto"/>
            <w:left w:val="none" w:sz="0" w:space="0" w:color="auto"/>
            <w:bottom w:val="none" w:sz="0" w:space="0" w:color="auto"/>
            <w:right w:val="none" w:sz="0" w:space="0" w:color="auto"/>
          </w:divBdr>
        </w:div>
        <w:div w:id="1469740404">
          <w:marLeft w:val="547"/>
          <w:marRight w:val="0"/>
          <w:marTop w:val="154"/>
          <w:marBottom w:val="0"/>
          <w:divBdr>
            <w:top w:val="none" w:sz="0" w:space="0" w:color="auto"/>
            <w:left w:val="none" w:sz="0" w:space="0" w:color="auto"/>
            <w:bottom w:val="none" w:sz="0" w:space="0" w:color="auto"/>
            <w:right w:val="none" w:sz="0" w:space="0" w:color="auto"/>
          </w:divBdr>
        </w:div>
        <w:div w:id="2112698902">
          <w:marLeft w:val="547"/>
          <w:marRight w:val="0"/>
          <w:marTop w:val="154"/>
          <w:marBottom w:val="0"/>
          <w:divBdr>
            <w:top w:val="none" w:sz="0" w:space="0" w:color="auto"/>
            <w:left w:val="none" w:sz="0" w:space="0" w:color="auto"/>
            <w:bottom w:val="none" w:sz="0" w:space="0" w:color="auto"/>
            <w:right w:val="none" w:sz="0" w:space="0" w:color="auto"/>
          </w:divBdr>
        </w:div>
        <w:div w:id="33963646">
          <w:marLeft w:val="547"/>
          <w:marRight w:val="0"/>
          <w:marTop w:val="154"/>
          <w:marBottom w:val="0"/>
          <w:divBdr>
            <w:top w:val="none" w:sz="0" w:space="0" w:color="auto"/>
            <w:left w:val="none" w:sz="0" w:space="0" w:color="auto"/>
            <w:bottom w:val="none" w:sz="0" w:space="0" w:color="auto"/>
            <w:right w:val="none" w:sz="0" w:space="0" w:color="auto"/>
          </w:divBdr>
        </w:div>
        <w:div w:id="2132285431">
          <w:marLeft w:val="547"/>
          <w:marRight w:val="0"/>
          <w:marTop w:val="154"/>
          <w:marBottom w:val="0"/>
          <w:divBdr>
            <w:top w:val="none" w:sz="0" w:space="0" w:color="auto"/>
            <w:left w:val="none" w:sz="0" w:space="0" w:color="auto"/>
            <w:bottom w:val="none" w:sz="0" w:space="0" w:color="auto"/>
            <w:right w:val="none" w:sz="0" w:space="0" w:color="auto"/>
          </w:divBdr>
        </w:div>
        <w:div w:id="1621646613">
          <w:marLeft w:val="547"/>
          <w:marRight w:val="0"/>
          <w:marTop w:val="154"/>
          <w:marBottom w:val="0"/>
          <w:divBdr>
            <w:top w:val="none" w:sz="0" w:space="0" w:color="auto"/>
            <w:left w:val="none" w:sz="0" w:space="0" w:color="auto"/>
            <w:bottom w:val="none" w:sz="0" w:space="0" w:color="auto"/>
            <w:right w:val="none" w:sz="0" w:space="0" w:color="auto"/>
          </w:divBdr>
        </w:div>
        <w:div w:id="53161051">
          <w:marLeft w:val="1267"/>
          <w:marRight w:val="0"/>
          <w:marTop w:val="134"/>
          <w:marBottom w:val="0"/>
          <w:divBdr>
            <w:top w:val="none" w:sz="0" w:space="0" w:color="auto"/>
            <w:left w:val="none" w:sz="0" w:space="0" w:color="auto"/>
            <w:bottom w:val="none" w:sz="0" w:space="0" w:color="auto"/>
            <w:right w:val="none" w:sz="0" w:space="0" w:color="auto"/>
          </w:divBdr>
        </w:div>
        <w:div w:id="1107695559">
          <w:marLeft w:val="1267"/>
          <w:marRight w:val="0"/>
          <w:marTop w:val="134"/>
          <w:marBottom w:val="0"/>
          <w:divBdr>
            <w:top w:val="none" w:sz="0" w:space="0" w:color="auto"/>
            <w:left w:val="none" w:sz="0" w:space="0" w:color="auto"/>
            <w:bottom w:val="none" w:sz="0" w:space="0" w:color="auto"/>
            <w:right w:val="none" w:sz="0" w:space="0" w:color="auto"/>
          </w:divBdr>
        </w:div>
        <w:div w:id="1247106244">
          <w:marLeft w:val="547"/>
          <w:marRight w:val="0"/>
          <w:marTop w:val="154"/>
          <w:marBottom w:val="0"/>
          <w:divBdr>
            <w:top w:val="none" w:sz="0" w:space="0" w:color="auto"/>
            <w:left w:val="none" w:sz="0" w:space="0" w:color="auto"/>
            <w:bottom w:val="none" w:sz="0" w:space="0" w:color="auto"/>
            <w:right w:val="none" w:sz="0" w:space="0" w:color="auto"/>
          </w:divBdr>
        </w:div>
        <w:div w:id="130900528">
          <w:marLeft w:val="547"/>
          <w:marRight w:val="0"/>
          <w:marTop w:val="154"/>
          <w:marBottom w:val="0"/>
          <w:divBdr>
            <w:top w:val="none" w:sz="0" w:space="0" w:color="auto"/>
            <w:left w:val="none" w:sz="0" w:space="0" w:color="auto"/>
            <w:bottom w:val="none" w:sz="0" w:space="0" w:color="auto"/>
            <w:right w:val="none" w:sz="0" w:space="0" w:color="auto"/>
          </w:divBdr>
        </w:div>
        <w:div w:id="1874150907">
          <w:marLeft w:val="1166"/>
          <w:marRight w:val="0"/>
          <w:marTop w:val="134"/>
          <w:marBottom w:val="0"/>
          <w:divBdr>
            <w:top w:val="none" w:sz="0" w:space="0" w:color="auto"/>
            <w:left w:val="none" w:sz="0" w:space="0" w:color="auto"/>
            <w:bottom w:val="none" w:sz="0" w:space="0" w:color="auto"/>
            <w:right w:val="none" w:sz="0" w:space="0" w:color="auto"/>
          </w:divBdr>
        </w:div>
        <w:div w:id="978650754">
          <w:marLeft w:val="547"/>
          <w:marRight w:val="0"/>
          <w:marTop w:val="154"/>
          <w:marBottom w:val="0"/>
          <w:divBdr>
            <w:top w:val="none" w:sz="0" w:space="0" w:color="auto"/>
            <w:left w:val="none" w:sz="0" w:space="0" w:color="auto"/>
            <w:bottom w:val="none" w:sz="0" w:space="0" w:color="auto"/>
            <w:right w:val="none" w:sz="0" w:space="0" w:color="auto"/>
          </w:divBdr>
        </w:div>
        <w:div w:id="823206666">
          <w:marLeft w:val="1166"/>
          <w:marRight w:val="0"/>
          <w:marTop w:val="134"/>
          <w:marBottom w:val="0"/>
          <w:divBdr>
            <w:top w:val="none" w:sz="0" w:space="0" w:color="auto"/>
            <w:left w:val="none" w:sz="0" w:space="0" w:color="auto"/>
            <w:bottom w:val="none" w:sz="0" w:space="0" w:color="auto"/>
            <w:right w:val="none" w:sz="0" w:space="0" w:color="auto"/>
          </w:divBdr>
        </w:div>
        <w:div w:id="1500190738">
          <w:marLeft w:val="547"/>
          <w:marRight w:val="0"/>
          <w:marTop w:val="154"/>
          <w:marBottom w:val="0"/>
          <w:divBdr>
            <w:top w:val="none" w:sz="0" w:space="0" w:color="auto"/>
            <w:left w:val="none" w:sz="0" w:space="0" w:color="auto"/>
            <w:bottom w:val="none" w:sz="0" w:space="0" w:color="auto"/>
            <w:right w:val="none" w:sz="0" w:space="0" w:color="auto"/>
          </w:divBdr>
        </w:div>
        <w:div w:id="2074352373">
          <w:marLeft w:val="547"/>
          <w:marRight w:val="0"/>
          <w:marTop w:val="154"/>
          <w:marBottom w:val="0"/>
          <w:divBdr>
            <w:top w:val="none" w:sz="0" w:space="0" w:color="auto"/>
            <w:left w:val="none" w:sz="0" w:space="0" w:color="auto"/>
            <w:bottom w:val="none" w:sz="0" w:space="0" w:color="auto"/>
            <w:right w:val="none" w:sz="0" w:space="0" w:color="auto"/>
          </w:divBdr>
        </w:div>
        <w:div w:id="957494934">
          <w:marLeft w:val="547"/>
          <w:marRight w:val="0"/>
          <w:marTop w:val="154"/>
          <w:marBottom w:val="0"/>
          <w:divBdr>
            <w:top w:val="none" w:sz="0" w:space="0" w:color="auto"/>
            <w:left w:val="none" w:sz="0" w:space="0" w:color="auto"/>
            <w:bottom w:val="none" w:sz="0" w:space="0" w:color="auto"/>
            <w:right w:val="none" w:sz="0" w:space="0" w:color="auto"/>
          </w:divBdr>
        </w:div>
        <w:div w:id="1040007895">
          <w:marLeft w:val="547"/>
          <w:marRight w:val="0"/>
          <w:marTop w:val="154"/>
          <w:marBottom w:val="0"/>
          <w:divBdr>
            <w:top w:val="none" w:sz="0" w:space="0" w:color="auto"/>
            <w:left w:val="none" w:sz="0" w:space="0" w:color="auto"/>
            <w:bottom w:val="none" w:sz="0" w:space="0" w:color="auto"/>
            <w:right w:val="none" w:sz="0" w:space="0" w:color="auto"/>
          </w:divBdr>
        </w:div>
        <w:div w:id="1044789711">
          <w:marLeft w:val="547"/>
          <w:marRight w:val="0"/>
          <w:marTop w:val="154"/>
          <w:marBottom w:val="0"/>
          <w:divBdr>
            <w:top w:val="none" w:sz="0" w:space="0" w:color="auto"/>
            <w:left w:val="none" w:sz="0" w:space="0" w:color="auto"/>
            <w:bottom w:val="none" w:sz="0" w:space="0" w:color="auto"/>
            <w:right w:val="none" w:sz="0" w:space="0" w:color="auto"/>
          </w:divBdr>
        </w:div>
        <w:div w:id="1704017403">
          <w:marLeft w:val="547"/>
          <w:marRight w:val="0"/>
          <w:marTop w:val="154"/>
          <w:marBottom w:val="0"/>
          <w:divBdr>
            <w:top w:val="none" w:sz="0" w:space="0" w:color="auto"/>
            <w:left w:val="none" w:sz="0" w:space="0" w:color="auto"/>
            <w:bottom w:val="none" w:sz="0" w:space="0" w:color="auto"/>
            <w:right w:val="none" w:sz="0" w:space="0" w:color="auto"/>
          </w:divBdr>
        </w:div>
        <w:div w:id="1885168937">
          <w:marLeft w:val="547"/>
          <w:marRight w:val="0"/>
          <w:marTop w:val="154"/>
          <w:marBottom w:val="0"/>
          <w:divBdr>
            <w:top w:val="none" w:sz="0" w:space="0" w:color="auto"/>
            <w:left w:val="none" w:sz="0" w:space="0" w:color="auto"/>
            <w:bottom w:val="none" w:sz="0" w:space="0" w:color="auto"/>
            <w:right w:val="none" w:sz="0" w:space="0" w:color="auto"/>
          </w:divBdr>
        </w:div>
        <w:div w:id="23336083">
          <w:marLeft w:val="547"/>
          <w:marRight w:val="0"/>
          <w:marTop w:val="154"/>
          <w:marBottom w:val="0"/>
          <w:divBdr>
            <w:top w:val="none" w:sz="0" w:space="0" w:color="auto"/>
            <w:left w:val="none" w:sz="0" w:space="0" w:color="auto"/>
            <w:bottom w:val="none" w:sz="0" w:space="0" w:color="auto"/>
            <w:right w:val="none" w:sz="0" w:space="0" w:color="auto"/>
          </w:divBdr>
        </w:div>
        <w:div w:id="1541281635">
          <w:marLeft w:val="547"/>
          <w:marRight w:val="0"/>
          <w:marTop w:val="154"/>
          <w:marBottom w:val="0"/>
          <w:divBdr>
            <w:top w:val="none" w:sz="0" w:space="0" w:color="auto"/>
            <w:left w:val="none" w:sz="0" w:space="0" w:color="auto"/>
            <w:bottom w:val="none" w:sz="0" w:space="0" w:color="auto"/>
            <w:right w:val="none" w:sz="0" w:space="0" w:color="auto"/>
          </w:divBdr>
        </w:div>
        <w:div w:id="1526090043">
          <w:marLeft w:val="547"/>
          <w:marRight w:val="0"/>
          <w:marTop w:val="154"/>
          <w:marBottom w:val="0"/>
          <w:divBdr>
            <w:top w:val="none" w:sz="0" w:space="0" w:color="auto"/>
            <w:left w:val="none" w:sz="0" w:space="0" w:color="auto"/>
            <w:bottom w:val="none" w:sz="0" w:space="0" w:color="auto"/>
            <w:right w:val="none" w:sz="0" w:space="0" w:color="auto"/>
          </w:divBdr>
        </w:div>
        <w:div w:id="2016418649">
          <w:marLeft w:val="1166"/>
          <w:marRight w:val="0"/>
          <w:marTop w:val="134"/>
          <w:marBottom w:val="0"/>
          <w:divBdr>
            <w:top w:val="none" w:sz="0" w:space="0" w:color="auto"/>
            <w:left w:val="none" w:sz="0" w:space="0" w:color="auto"/>
            <w:bottom w:val="none" w:sz="0" w:space="0" w:color="auto"/>
            <w:right w:val="none" w:sz="0" w:space="0" w:color="auto"/>
          </w:divBdr>
        </w:div>
        <w:div w:id="1700204711">
          <w:marLeft w:val="547"/>
          <w:marRight w:val="0"/>
          <w:marTop w:val="154"/>
          <w:marBottom w:val="0"/>
          <w:divBdr>
            <w:top w:val="none" w:sz="0" w:space="0" w:color="auto"/>
            <w:left w:val="none" w:sz="0" w:space="0" w:color="auto"/>
            <w:bottom w:val="none" w:sz="0" w:space="0" w:color="auto"/>
            <w:right w:val="none" w:sz="0" w:space="0" w:color="auto"/>
          </w:divBdr>
        </w:div>
        <w:div w:id="375858223">
          <w:marLeft w:val="547"/>
          <w:marRight w:val="0"/>
          <w:marTop w:val="154"/>
          <w:marBottom w:val="0"/>
          <w:divBdr>
            <w:top w:val="none" w:sz="0" w:space="0" w:color="auto"/>
            <w:left w:val="none" w:sz="0" w:space="0" w:color="auto"/>
            <w:bottom w:val="none" w:sz="0" w:space="0" w:color="auto"/>
            <w:right w:val="none" w:sz="0" w:space="0" w:color="auto"/>
          </w:divBdr>
        </w:div>
        <w:div w:id="931822221">
          <w:marLeft w:val="1166"/>
          <w:marRight w:val="0"/>
          <w:marTop w:val="134"/>
          <w:marBottom w:val="0"/>
          <w:divBdr>
            <w:top w:val="none" w:sz="0" w:space="0" w:color="auto"/>
            <w:left w:val="none" w:sz="0" w:space="0" w:color="auto"/>
            <w:bottom w:val="none" w:sz="0" w:space="0" w:color="auto"/>
            <w:right w:val="none" w:sz="0" w:space="0" w:color="auto"/>
          </w:divBdr>
        </w:div>
        <w:div w:id="95637627">
          <w:marLeft w:val="547"/>
          <w:marRight w:val="0"/>
          <w:marTop w:val="154"/>
          <w:marBottom w:val="0"/>
          <w:divBdr>
            <w:top w:val="none" w:sz="0" w:space="0" w:color="auto"/>
            <w:left w:val="none" w:sz="0" w:space="0" w:color="auto"/>
            <w:bottom w:val="none" w:sz="0" w:space="0" w:color="auto"/>
            <w:right w:val="none" w:sz="0" w:space="0" w:color="auto"/>
          </w:divBdr>
        </w:div>
        <w:div w:id="423649836">
          <w:marLeft w:val="1166"/>
          <w:marRight w:val="0"/>
          <w:marTop w:val="134"/>
          <w:marBottom w:val="0"/>
          <w:divBdr>
            <w:top w:val="none" w:sz="0" w:space="0" w:color="auto"/>
            <w:left w:val="none" w:sz="0" w:space="0" w:color="auto"/>
            <w:bottom w:val="none" w:sz="0" w:space="0" w:color="auto"/>
            <w:right w:val="none" w:sz="0" w:space="0" w:color="auto"/>
          </w:divBdr>
        </w:div>
        <w:div w:id="1446733082">
          <w:marLeft w:val="547"/>
          <w:marRight w:val="0"/>
          <w:marTop w:val="154"/>
          <w:marBottom w:val="0"/>
          <w:divBdr>
            <w:top w:val="none" w:sz="0" w:space="0" w:color="auto"/>
            <w:left w:val="none" w:sz="0" w:space="0" w:color="auto"/>
            <w:bottom w:val="none" w:sz="0" w:space="0" w:color="auto"/>
            <w:right w:val="none" w:sz="0" w:space="0" w:color="auto"/>
          </w:divBdr>
        </w:div>
        <w:div w:id="633607783">
          <w:marLeft w:val="547"/>
          <w:marRight w:val="0"/>
          <w:marTop w:val="154"/>
          <w:marBottom w:val="0"/>
          <w:divBdr>
            <w:top w:val="none" w:sz="0" w:space="0" w:color="auto"/>
            <w:left w:val="none" w:sz="0" w:space="0" w:color="auto"/>
            <w:bottom w:val="none" w:sz="0" w:space="0" w:color="auto"/>
            <w:right w:val="none" w:sz="0" w:space="0" w:color="auto"/>
          </w:divBdr>
        </w:div>
        <w:div w:id="1859079382">
          <w:marLeft w:val="1166"/>
          <w:marRight w:val="0"/>
          <w:marTop w:val="134"/>
          <w:marBottom w:val="0"/>
          <w:divBdr>
            <w:top w:val="none" w:sz="0" w:space="0" w:color="auto"/>
            <w:left w:val="none" w:sz="0" w:space="0" w:color="auto"/>
            <w:bottom w:val="none" w:sz="0" w:space="0" w:color="auto"/>
            <w:right w:val="none" w:sz="0" w:space="0" w:color="auto"/>
          </w:divBdr>
        </w:div>
        <w:div w:id="1056782791">
          <w:marLeft w:val="547"/>
          <w:marRight w:val="0"/>
          <w:marTop w:val="154"/>
          <w:marBottom w:val="0"/>
          <w:divBdr>
            <w:top w:val="none" w:sz="0" w:space="0" w:color="auto"/>
            <w:left w:val="none" w:sz="0" w:space="0" w:color="auto"/>
            <w:bottom w:val="none" w:sz="0" w:space="0" w:color="auto"/>
            <w:right w:val="none" w:sz="0" w:space="0" w:color="auto"/>
          </w:divBdr>
        </w:div>
        <w:div w:id="606549583">
          <w:marLeft w:val="1166"/>
          <w:marRight w:val="0"/>
          <w:marTop w:val="134"/>
          <w:marBottom w:val="0"/>
          <w:divBdr>
            <w:top w:val="none" w:sz="0" w:space="0" w:color="auto"/>
            <w:left w:val="none" w:sz="0" w:space="0" w:color="auto"/>
            <w:bottom w:val="none" w:sz="0" w:space="0" w:color="auto"/>
            <w:right w:val="none" w:sz="0" w:space="0" w:color="auto"/>
          </w:divBdr>
        </w:div>
        <w:div w:id="679819111">
          <w:marLeft w:val="547"/>
          <w:marRight w:val="0"/>
          <w:marTop w:val="154"/>
          <w:marBottom w:val="0"/>
          <w:divBdr>
            <w:top w:val="none" w:sz="0" w:space="0" w:color="auto"/>
            <w:left w:val="none" w:sz="0" w:space="0" w:color="auto"/>
            <w:bottom w:val="none" w:sz="0" w:space="0" w:color="auto"/>
            <w:right w:val="none" w:sz="0" w:space="0" w:color="auto"/>
          </w:divBdr>
        </w:div>
        <w:div w:id="1984658059">
          <w:marLeft w:val="547"/>
          <w:marRight w:val="0"/>
          <w:marTop w:val="154"/>
          <w:marBottom w:val="0"/>
          <w:divBdr>
            <w:top w:val="none" w:sz="0" w:space="0" w:color="auto"/>
            <w:left w:val="none" w:sz="0" w:space="0" w:color="auto"/>
            <w:bottom w:val="none" w:sz="0" w:space="0" w:color="auto"/>
            <w:right w:val="none" w:sz="0" w:space="0" w:color="auto"/>
          </w:divBdr>
        </w:div>
        <w:div w:id="1202129025">
          <w:marLeft w:val="547"/>
          <w:marRight w:val="0"/>
          <w:marTop w:val="154"/>
          <w:marBottom w:val="0"/>
          <w:divBdr>
            <w:top w:val="none" w:sz="0" w:space="0" w:color="auto"/>
            <w:left w:val="none" w:sz="0" w:space="0" w:color="auto"/>
            <w:bottom w:val="none" w:sz="0" w:space="0" w:color="auto"/>
            <w:right w:val="none" w:sz="0" w:space="0" w:color="auto"/>
          </w:divBdr>
        </w:div>
        <w:div w:id="1077479732">
          <w:marLeft w:val="1166"/>
          <w:marRight w:val="0"/>
          <w:marTop w:val="134"/>
          <w:marBottom w:val="0"/>
          <w:divBdr>
            <w:top w:val="none" w:sz="0" w:space="0" w:color="auto"/>
            <w:left w:val="none" w:sz="0" w:space="0" w:color="auto"/>
            <w:bottom w:val="none" w:sz="0" w:space="0" w:color="auto"/>
            <w:right w:val="none" w:sz="0" w:space="0" w:color="auto"/>
          </w:divBdr>
        </w:div>
        <w:div w:id="755635146">
          <w:marLeft w:val="1166"/>
          <w:marRight w:val="0"/>
          <w:marTop w:val="134"/>
          <w:marBottom w:val="0"/>
          <w:divBdr>
            <w:top w:val="none" w:sz="0" w:space="0" w:color="auto"/>
            <w:left w:val="none" w:sz="0" w:space="0" w:color="auto"/>
            <w:bottom w:val="none" w:sz="0" w:space="0" w:color="auto"/>
            <w:right w:val="none" w:sz="0" w:space="0" w:color="auto"/>
          </w:divBdr>
        </w:div>
        <w:div w:id="1155881627">
          <w:marLeft w:val="1166"/>
          <w:marRight w:val="0"/>
          <w:marTop w:val="134"/>
          <w:marBottom w:val="0"/>
          <w:divBdr>
            <w:top w:val="none" w:sz="0" w:space="0" w:color="auto"/>
            <w:left w:val="none" w:sz="0" w:space="0" w:color="auto"/>
            <w:bottom w:val="none" w:sz="0" w:space="0" w:color="auto"/>
            <w:right w:val="none" w:sz="0" w:space="0" w:color="auto"/>
          </w:divBdr>
        </w:div>
        <w:div w:id="290134825">
          <w:marLeft w:val="1166"/>
          <w:marRight w:val="0"/>
          <w:marTop w:val="134"/>
          <w:marBottom w:val="0"/>
          <w:divBdr>
            <w:top w:val="none" w:sz="0" w:space="0" w:color="auto"/>
            <w:left w:val="none" w:sz="0" w:space="0" w:color="auto"/>
            <w:bottom w:val="none" w:sz="0" w:space="0" w:color="auto"/>
            <w:right w:val="none" w:sz="0" w:space="0" w:color="auto"/>
          </w:divBdr>
        </w:div>
        <w:div w:id="2107380879">
          <w:marLeft w:val="1166"/>
          <w:marRight w:val="0"/>
          <w:marTop w:val="134"/>
          <w:marBottom w:val="0"/>
          <w:divBdr>
            <w:top w:val="none" w:sz="0" w:space="0" w:color="auto"/>
            <w:left w:val="none" w:sz="0" w:space="0" w:color="auto"/>
            <w:bottom w:val="none" w:sz="0" w:space="0" w:color="auto"/>
            <w:right w:val="none" w:sz="0" w:space="0" w:color="auto"/>
          </w:divBdr>
        </w:div>
        <w:div w:id="843209225">
          <w:marLeft w:val="1166"/>
          <w:marRight w:val="0"/>
          <w:marTop w:val="134"/>
          <w:marBottom w:val="0"/>
          <w:divBdr>
            <w:top w:val="none" w:sz="0" w:space="0" w:color="auto"/>
            <w:left w:val="none" w:sz="0" w:space="0" w:color="auto"/>
            <w:bottom w:val="none" w:sz="0" w:space="0" w:color="auto"/>
            <w:right w:val="none" w:sz="0" w:space="0" w:color="auto"/>
          </w:divBdr>
        </w:div>
        <w:div w:id="689113581">
          <w:marLeft w:val="1166"/>
          <w:marRight w:val="0"/>
          <w:marTop w:val="134"/>
          <w:marBottom w:val="0"/>
          <w:divBdr>
            <w:top w:val="none" w:sz="0" w:space="0" w:color="auto"/>
            <w:left w:val="none" w:sz="0" w:space="0" w:color="auto"/>
            <w:bottom w:val="none" w:sz="0" w:space="0" w:color="auto"/>
            <w:right w:val="none" w:sz="0" w:space="0" w:color="auto"/>
          </w:divBdr>
        </w:div>
        <w:div w:id="1572615597">
          <w:marLeft w:val="547"/>
          <w:marRight w:val="0"/>
          <w:marTop w:val="154"/>
          <w:marBottom w:val="0"/>
          <w:divBdr>
            <w:top w:val="none" w:sz="0" w:space="0" w:color="auto"/>
            <w:left w:val="none" w:sz="0" w:space="0" w:color="auto"/>
            <w:bottom w:val="none" w:sz="0" w:space="0" w:color="auto"/>
            <w:right w:val="none" w:sz="0" w:space="0" w:color="auto"/>
          </w:divBdr>
        </w:div>
        <w:div w:id="1234461870">
          <w:marLeft w:val="547"/>
          <w:marRight w:val="0"/>
          <w:marTop w:val="154"/>
          <w:marBottom w:val="0"/>
          <w:divBdr>
            <w:top w:val="none" w:sz="0" w:space="0" w:color="auto"/>
            <w:left w:val="none" w:sz="0" w:space="0" w:color="auto"/>
            <w:bottom w:val="none" w:sz="0" w:space="0" w:color="auto"/>
            <w:right w:val="none" w:sz="0" w:space="0" w:color="auto"/>
          </w:divBdr>
        </w:div>
        <w:div w:id="45034030">
          <w:marLeft w:val="1166"/>
          <w:marRight w:val="0"/>
          <w:marTop w:val="134"/>
          <w:marBottom w:val="0"/>
          <w:divBdr>
            <w:top w:val="none" w:sz="0" w:space="0" w:color="auto"/>
            <w:left w:val="none" w:sz="0" w:space="0" w:color="auto"/>
            <w:bottom w:val="none" w:sz="0" w:space="0" w:color="auto"/>
            <w:right w:val="none" w:sz="0" w:space="0" w:color="auto"/>
          </w:divBdr>
        </w:div>
        <w:div w:id="759445379">
          <w:marLeft w:val="1166"/>
          <w:marRight w:val="0"/>
          <w:marTop w:val="134"/>
          <w:marBottom w:val="0"/>
          <w:divBdr>
            <w:top w:val="none" w:sz="0" w:space="0" w:color="auto"/>
            <w:left w:val="none" w:sz="0" w:space="0" w:color="auto"/>
            <w:bottom w:val="none" w:sz="0" w:space="0" w:color="auto"/>
            <w:right w:val="none" w:sz="0" w:space="0" w:color="auto"/>
          </w:divBdr>
        </w:div>
        <w:div w:id="1194883008">
          <w:marLeft w:val="547"/>
          <w:marRight w:val="0"/>
          <w:marTop w:val="154"/>
          <w:marBottom w:val="0"/>
          <w:divBdr>
            <w:top w:val="none" w:sz="0" w:space="0" w:color="auto"/>
            <w:left w:val="none" w:sz="0" w:space="0" w:color="auto"/>
            <w:bottom w:val="none" w:sz="0" w:space="0" w:color="auto"/>
            <w:right w:val="none" w:sz="0" w:space="0" w:color="auto"/>
          </w:divBdr>
        </w:div>
        <w:div w:id="741829572">
          <w:marLeft w:val="1166"/>
          <w:marRight w:val="0"/>
          <w:marTop w:val="134"/>
          <w:marBottom w:val="0"/>
          <w:divBdr>
            <w:top w:val="none" w:sz="0" w:space="0" w:color="auto"/>
            <w:left w:val="none" w:sz="0" w:space="0" w:color="auto"/>
            <w:bottom w:val="none" w:sz="0" w:space="0" w:color="auto"/>
            <w:right w:val="none" w:sz="0" w:space="0" w:color="auto"/>
          </w:divBdr>
        </w:div>
        <w:div w:id="2033191355">
          <w:marLeft w:val="1166"/>
          <w:marRight w:val="0"/>
          <w:marTop w:val="134"/>
          <w:marBottom w:val="0"/>
          <w:divBdr>
            <w:top w:val="none" w:sz="0" w:space="0" w:color="auto"/>
            <w:left w:val="none" w:sz="0" w:space="0" w:color="auto"/>
            <w:bottom w:val="none" w:sz="0" w:space="0" w:color="auto"/>
            <w:right w:val="none" w:sz="0" w:space="0" w:color="auto"/>
          </w:divBdr>
        </w:div>
        <w:div w:id="1695811727">
          <w:marLeft w:val="547"/>
          <w:marRight w:val="0"/>
          <w:marTop w:val="154"/>
          <w:marBottom w:val="0"/>
          <w:divBdr>
            <w:top w:val="none" w:sz="0" w:space="0" w:color="auto"/>
            <w:left w:val="none" w:sz="0" w:space="0" w:color="auto"/>
            <w:bottom w:val="none" w:sz="0" w:space="0" w:color="auto"/>
            <w:right w:val="none" w:sz="0" w:space="0" w:color="auto"/>
          </w:divBdr>
        </w:div>
        <w:div w:id="1437870015">
          <w:marLeft w:val="547"/>
          <w:marRight w:val="0"/>
          <w:marTop w:val="154"/>
          <w:marBottom w:val="0"/>
          <w:divBdr>
            <w:top w:val="none" w:sz="0" w:space="0" w:color="auto"/>
            <w:left w:val="none" w:sz="0" w:space="0" w:color="auto"/>
            <w:bottom w:val="none" w:sz="0" w:space="0" w:color="auto"/>
            <w:right w:val="none" w:sz="0" w:space="0" w:color="auto"/>
          </w:divBdr>
        </w:div>
        <w:div w:id="1286691197">
          <w:marLeft w:val="1166"/>
          <w:marRight w:val="0"/>
          <w:marTop w:val="134"/>
          <w:marBottom w:val="0"/>
          <w:divBdr>
            <w:top w:val="none" w:sz="0" w:space="0" w:color="auto"/>
            <w:left w:val="none" w:sz="0" w:space="0" w:color="auto"/>
            <w:bottom w:val="none" w:sz="0" w:space="0" w:color="auto"/>
            <w:right w:val="none" w:sz="0" w:space="0" w:color="auto"/>
          </w:divBdr>
        </w:div>
        <w:div w:id="746659730">
          <w:marLeft w:val="1166"/>
          <w:marRight w:val="0"/>
          <w:marTop w:val="134"/>
          <w:marBottom w:val="0"/>
          <w:divBdr>
            <w:top w:val="none" w:sz="0" w:space="0" w:color="auto"/>
            <w:left w:val="none" w:sz="0" w:space="0" w:color="auto"/>
            <w:bottom w:val="none" w:sz="0" w:space="0" w:color="auto"/>
            <w:right w:val="none" w:sz="0" w:space="0" w:color="auto"/>
          </w:divBdr>
        </w:div>
        <w:div w:id="864169580">
          <w:marLeft w:val="1166"/>
          <w:marRight w:val="0"/>
          <w:marTop w:val="134"/>
          <w:marBottom w:val="0"/>
          <w:divBdr>
            <w:top w:val="none" w:sz="0" w:space="0" w:color="auto"/>
            <w:left w:val="none" w:sz="0" w:space="0" w:color="auto"/>
            <w:bottom w:val="none" w:sz="0" w:space="0" w:color="auto"/>
            <w:right w:val="none" w:sz="0" w:space="0" w:color="auto"/>
          </w:divBdr>
        </w:div>
        <w:div w:id="1777476749">
          <w:marLeft w:val="1166"/>
          <w:marRight w:val="0"/>
          <w:marTop w:val="134"/>
          <w:marBottom w:val="0"/>
          <w:divBdr>
            <w:top w:val="none" w:sz="0" w:space="0" w:color="auto"/>
            <w:left w:val="none" w:sz="0" w:space="0" w:color="auto"/>
            <w:bottom w:val="none" w:sz="0" w:space="0" w:color="auto"/>
            <w:right w:val="none" w:sz="0" w:space="0" w:color="auto"/>
          </w:divBdr>
        </w:div>
        <w:div w:id="1259214934">
          <w:marLeft w:val="1166"/>
          <w:marRight w:val="0"/>
          <w:marTop w:val="134"/>
          <w:marBottom w:val="0"/>
          <w:divBdr>
            <w:top w:val="none" w:sz="0" w:space="0" w:color="auto"/>
            <w:left w:val="none" w:sz="0" w:space="0" w:color="auto"/>
            <w:bottom w:val="none" w:sz="0" w:space="0" w:color="auto"/>
            <w:right w:val="none" w:sz="0" w:space="0" w:color="auto"/>
          </w:divBdr>
        </w:div>
        <w:div w:id="504789518">
          <w:marLeft w:val="547"/>
          <w:marRight w:val="0"/>
          <w:marTop w:val="154"/>
          <w:marBottom w:val="0"/>
          <w:divBdr>
            <w:top w:val="none" w:sz="0" w:space="0" w:color="auto"/>
            <w:left w:val="none" w:sz="0" w:space="0" w:color="auto"/>
            <w:bottom w:val="none" w:sz="0" w:space="0" w:color="auto"/>
            <w:right w:val="none" w:sz="0" w:space="0" w:color="auto"/>
          </w:divBdr>
        </w:div>
        <w:div w:id="637565130">
          <w:marLeft w:val="547"/>
          <w:marRight w:val="0"/>
          <w:marTop w:val="154"/>
          <w:marBottom w:val="0"/>
          <w:divBdr>
            <w:top w:val="none" w:sz="0" w:space="0" w:color="auto"/>
            <w:left w:val="none" w:sz="0" w:space="0" w:color="auto"/>
            <w:bottom w:val="none" w:sz="0" w:space="0" w:color="auto"/>
            <w:right w:val="none" w:sz="0" w:space="0" w:color="auto"/>
          </w:divBdr>
        </w:div>
        <w:div w:id="1995598047">
          <w:marLeft w:val="1166"/>
          <w:marRight w:val="0"/>
          <w:marTop w:val="134"/>
          <w:marBottom w:val="0"/>
          <w:divBdr>
            <w:top w:val="none" w:sz="0" w:space="0" w:color="auto"/>
            <w:left w:val="none" w:sz="0" w:space="0" w:color="auto"/>
            <w:bottom w:val="none" w:sz="0" w:space="0" w:color="auto"/>
            <w:right w:val="none" w:sz="0" w:space="0" w:color="auto"/>
          </w:divBdr>
        </w:div>
        <w:div w:id="1546016573">
          <w:marLeft w:val="1166"/>
          <w:marRight w:val="0"/>
          <w:marTop w:val="134"/>
          <w:marBottom w:val="0"/>
          <w:divBdr>
            <w:top w:val="none" w:sz="0" w:space="0" w:color="auto"/>
            <w:left w:val="none" w:sz="0" w:space="0" w:color="auto"/>
            <w:bottom w:val="none" w:sz="0" w:space="0" w:color="auto"/>
            <w:right w:val="none" w:sz="0" w:space="0" w:color="auto"/>
          </w:divBdr>
        </w:div>
        <w:div w:id="1389111361">
          <w:marLeft w:val="1166"/>
          <w:marRight w:val="0"/>
          <w:marTop w:val="134"/>
          <w:marBottom w:val="0"/>
          <w:divBdr>
            <w:top w:val="none" w:sz="0" w:space="0" w:color="auto"/>
            <w:left w:val="none" w:sz="0" w:space="0" w:color="auto"/>
            <w:bottom w:val="none" w:sz="0" w:space="0" w:color="auto"/>
            <w:right w:val="none" w:sz="0" w:space="0" w:color="auto"/>
          </w:divBdr>
        </w:div>
        <w:div w:id="1359964489">
          <w:marLeft w:val="547"/>
          <w:marRight w:val="0"/>
          <w:marTop w:val="154"/>
          <w:marBottom w:val="0"/>
          <w:divBdr>
            <w:top w:val="none" w:sz="0" w:space="0" w:color="auto"/>
            <w:left w:val="none" w:sz="0" w:space="0" w:color="auto"/>
            <w:bottom w:val="none" w:sz="0" w:space="0" w:color="auto"/>
            <w:right w:val="none" w:sz="0" w:space="0" w:color="auto"/>
          </w:divBdr>
        </w:div>
        <w:div w:id="1100644178">
          <w:marLeft w:val="547"/>
          <w:marRight w:val="0"/>
          <w:marTop w:val="154"/>
          <w:marBottom w:val="0"/>
          <w:divBdr>
            <w:top w:val="none" w:sz="0" w:space="0" w:color="auto"/>
            <w:left w:val="none" w:sz="0" w:space="0" w:color="auto"/>
            <w:bottom w:val="none" w:sz="0" w:space="0" w:color="auto"/>
            <w:right w:val="none" w:sz="0" w:space="0" w:color="auto"/>
          </w:divBdr>
        </w:div>
        <w:div w:id="591088672">
          <w:marLeft w:val="547"/>
          <w:marRight w:val="0"/>
          <w:marTop w:val="154"/>
          <w:marBottom w:val="0"/>
          <w:divBdr>
            <w:top w:val="none" w:sz="0" w:space="0" w:color="auto"/>
            <w:left w:val="none" w:sz="0" w:space="0" w:color="auto"/>
            <w:bottom w:val="none" w:sz="0" w:space="0" w:color="auto"/>
            <w:right w:val="none" w:sz="0" w:space="0" w:color="auto"/>
          </w:divBdr>
        </w:div>
        <w:div w:id="2112165506">
          <w:marLeft w:val="547"/>
          <w:marRight w:val="0"/>
          <w:marTop w:val="154"/>
          <w:marBottom w:val="0"/>
          <w:divBdr>
            <w:top w:val="none" w:sz="0" w:space="0" w:color="auto"/>
            <w:left w:val="none" w:sz="0" w:space="0" w:color="auto"/>
            <w:bottom w:val="none" w:sz="0" w:space="0" w:color="auto"/>
            <w:right w:val="none" w:sz="0" w:space="0" w:color="auto"/>
          </w:divBdr>
        </w:div>
        <w:div w:id="288555652">
          <w:marLeft w:val="1166"/>
          <w:marRight w:val="0"/>
          <w:marTop w:val="134"/>
          <w:marBottom w:val="0"/>
          <w:divBdr>
            <w:top w:val="none" w:sz="0" w:space="0" w:color="auto"/>
            <w:left w:val="none" w:sz="0" w:space="0" w:color="auto"/>
            <w:bottom w:val="none" w:sz="0" w:space="0" w:color="auto"/>
            <w:right w:val="none" w:sz="0" w:space="0" w:color="auto"/>
          </w:divBdr>
        </w:div>
        <w:div w:id="460996722">
          <w:marLeft w:val="1166"/>
          <w:marRight w:val="0"/>
          <w:marTop w:val="134"/>
          <w:marBottom w:val="0"/>
          <w:divBdr>
            <w:top w:val="none" w:sz="0" w:space="0" w:color="auto"/>
            <w:left w:val="none" w:sz="0" w:space="0" w:color="auto"/>
            <w:bottom w:val="none" w:sz="0" w:space="0" w:color="auto"/>
            <w:right w:val="none" w:sz="0" w:space="0" w:color="auto"/>
          </w:divBdr>
        </w:div>
        <w:div w:id="178633909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1060</Words>
  <Characters>6045</Characters>
  <Application>Microsoft Office Word</Application>
  <DocSecurity>0</DocSecurity>
  <Lines>50</Lines>
  <Paragraphs>14</Paragraphs>
  <ScaleCrop>false</ScaleCrop>
  <Company/>
  <LinksUpToDate>false</LinksUpToDate>
  <CharactersWithSpaces>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2</cp:revision>
  <dcterms:created xsi:type="dcterms:W3CDTF">2013-06-28T18:32:00Z</dcterms:created>
  <dcterms:modified xsi:type="dcterms:W3CDTF">2013-06-28T18:42:00Z</dcterms:modified>
</cp:coreProperties>
</file>