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3032" w:rsidRPr="00EA3032" w:rsidRDefault="00EA3032" w:rsidP="00EA3032">
      <w:pPr>
        <w:spacing w:before="100" w:beforeAutospacing="1" w:after="100" w:afterAutospacing="1" w:line="240" w:lineRule="auto"/>
        <w:outlineLvl w:val="0"/>
        <w:rPr>
          <w:rFonts w:ascii="Times New Roman" w:hAnsi="Times New Roman"/>
          <w:b/>
          <w:bCs/>
          <w:kern w:val="36"/>
          <w:sz w:val="48"/>
          <w:szCs w:val="48"/>
          <w:lang w:val="en-US" w:eastAsia="en-US"/>
        </w:rPr>
      </w:pPr>
      <w:r w:rsidRPr="00EA3032">
        <w:rPr>
          <w:rFonts w:ascii="Times New Roman" w:hAnsi="Times New Roman"/>
          <w:b/>
          <w:bCs/>
          <w:kern w:val="36"/>
          <w:sz w:val="48"/>
          <w:szCs w:val="48"/>
          <w:lang w:val="en-US" w:eastAsia="en-US"/>
        </w:rPr>
        <w:t xml:space="preserve">Business </w:t>
      </w:r>
      <w:proofErr w:type="spellStart"/>
      <w:r w:rsidRPr="00EA3032">
        <w:rPr>
          <w:rFonts w:ascii="Times New Roman" w:hAnsi="Times New Roman"/>
          <w:b/>
          <w:bCs/>
          <w:kern w:val="36"/>
          <w:sz w:val="48"/>
          <w:szCs w:val="48"/>
          <w:lang w:val="en-US" w:eastAsia="en-US"/>
        </w:rPr>
        <w:t>Organisation</w:t>
      </w:r>
      <w:proofErr w:type="spellEnd"/>
      <w:r w:rsidRPr="00EA3032">
        <w:rPr>
          <w:rFonts w:ascii="Times New Roman" w:hAnsi="Times New Roman"/>
          <w:b/>
          <w:bCs/>
          <w:kern w:val="36"/>
          <w:sz w:val="48"/>
          <w:szCs w:val="48"/>
          <w:lang w:val="en-US" w:eastAsia="en-US"/>
        </w:rPr>
        <w:t xml:space="preserve"> and Corporate Governance</w:t>
      </w:r>
    </w:p>
    <w:p w:rsidR="00EA3032" w:rsidRPr="00EA3032" w:rsidRDefault="00EA3032" w:rsidP="00EA3032">
      <w:pPr>
        <w:spacing w:before="100" w:beforeAutospacing="1" w:after="100" w:afterAutospacing="1" w:line="240" w:lineRule="auto"/>
        <w:outlineLvl w:val="1"/>
        <w:rPr>
          <w:rFonts w:ascii="Times New Roman" w:hAnsi="Times New Roman"/>
          <w:b/>
          <w:bCs/>
          <w:sz w:val="36"/>
          <w:szCs w:val="36"/>
          <w:lang w:val="en-US" w:eastAsia="en-US"/>
        </w:rPr>
      </w:pPr>
      <w:r w:rsidRPr="00EA3032">
        <w:rPr>
          <w:rFonts w:ascii="Times New Roman" w:hAnsi="Times New Roman"/>
          <w:b/>
          <w:bCs/>
          <w:sz w:val="36"/>
          <w:szCs w:val="36"/>
          <w:lang w:val="en-US" w:eastAsia="en-US"/>
        </w:rPr>
        <w:t xml:space="preserve">Business </w:t>
      </w:r>
      <w:proofErr w:type="spellStart"/>
      <w:r w:rsidRPr="00EA3032">
        <w:rPr>
          <w:rFonts w:ascii="Times New Roman" w:hAnsi="Times New Roman"/>
          <w:b/>
          <w:bCs/>
          <w:sz w:val="36"/>
          <w:szCs w:val="36"/>
          <w:lang w:val="en-US" w:eastAsia="en-US"/>
        </w:rPr>
        <w:t>organisation</w:t>
      </w:r>
      <w:proofErr w:type="spellEnd"/>
    </w:p>
    <w:p w:rsidR="00EA3032" w:rsidRPr="00EA3032" w:rsidRDefault="00EA3032" w:rsidP="00EA3032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val="en-US" w:eastAsia="en-US"/>
        </w:rPr>
      </w:pPr>
      <w:r w:rsidRPr="00EA3032">
        <w:rPr>
          <w:rFonts w:ascii="Times New Roman" w:hAnsi="Times New Roman"/>
          <w:sz w:val="24"/>
          <w:szCs w:val="24"/>
          <w:lang w:val="en-US" w:eastAsia="en-US"/>
        </w:rPr>
        <w:t xml:space="preserve">This section briefly describes how the Group is </w:t>
      </w:r>
      <w:proofErr w:type="spellStart"/>
      <w:r w:rsidRPr="00EA3032">
        <w:rPr>
          <w:rFonts w:ascii="Times New Roman" w:hAnsi="Times New Roman"/>
          <w:sz w:val="24"/>
          <w:szCs w:val="24"/>
          <w:lang w:val="en-US" w:eastAsia="en-US"/>
        </w:rPr>
        <w:t>organised</w:t>
      </w:r>
      <w:proofErr w:type="spellEnd"/>
      <w:r w:rsidRPr="00EA3032">
        <w:rPr>
          <w:rFonts w:ascii="Times New Roman" w:hAnsi="Times New Roman"/>
          <w:sz w:val="24"/>
          <w:szCs w:val="24"/>
          <w:lang w:val="en-US" w:eastAsia="en-US"/>
        </w:rPr>
        <w:t>, including the overall structure and principal roles and responsibilities of the Board, its committees and the SET.</w:t>
      </w:r>
    </w:p>
    <w:p w:rsidR="00EA3032" w:rsidRPr="00EA3032" w:rsidRDefault="00EA3032" w:rsidP="00EA3032">
      <w:pPr>
        <w:spacing w:before="100" w:beforeAutospacing="1" w:after="100" w:afterAutospacing="1" w:line="240" w:lineRule="auto"/>
        <w:outlineLvl w:val="2"/>
        <w:rPr>
          <w:rFonts w:ascii="Times New Roman" w:hAnsi="Times New Roman"/>
          <w:b/>
          <w:bCs/>
          <w:sz w:val="27"/>
          <w:szCs w:val="27"/>
          <w:lang w:val="en-US" w:eastAsia="en-US"/>
        </w:rPr>
      </w:pPr>
      <w:r w:rsidRPr="00EA3032">
        <w:rPr>
          <w:rFonts w:ascii="Times New Roman" w:hAnsi="Times New Roman"/>
          <w:b/>
          <w:bCs/>
          <w:sz w:val="27"/>
          <w:szCs w:val="27"/>
          <w:lang w:val="en-US" w:eastAsia="en-US"/>
        </w:rPr>
        <w:t>Board composition, processes and responsibilities</w:t>
      </w:r>
    </w:p>
    <w:p w:rsidR="00EA3032" w:rsidRPr="00EA3032" w:rsidRDefault="00EA3032" w:rsidP="00EA3032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val="en-US" w:eastAsia="en-US"/>
        </w:rPr>
      </w:pPr>
      <w:r w:rsidRPr="00EA3032">
        <w:rPr>
          <w:rFonts w:ascii="Times New Roman" w:hAnsi="Times New Roman"/>
          <w:sz w:val="24"/>
          <w:szCs w:val="24"/>
          <w:lang w:val="en-US" w:eastAsia="en-US"/>
        </w:rPr>
        <w:t xml:space="preserve">The Board comprises two Executive Directors (the CEO and the CFO) and 10 Non-Executive Directors. The membership of the Board at 31 December 2009 and information about individual Directors is contained in the </w:t>
      </w:r>
      <w:hyperlink r:id="rId4" w:history="1">
        <w:r w:rsidRPr="00EA3032">
          <w:rPr>
            <w:rFonts w:ascii="Times New Roman" w:hAnsi="Times New Roman"/>
            <w:color w:val="0000FF"/>
            <w:sz w:val="24"/>
            <w:szCs w:val="24"/>
            <w:u w:val="single"/>
            <w:lang w:val="en-US" w:eastAsia="en-US"/>
          </w:rPr>
          <w:t>Board of Directors</w:t>
        </w:r>
      </w:hyperlink>
      <w:r w:rsidRPr="00EA3032">
        <w:rPr>
          <w:rFonts w:ascii="Times New Roman" w:hAnsi="Times New Roman"/>
          <w:sz w:val="24"/>
          <w:szCs w:val="24"/>
          <w:lang w:val="en-US" w:eastAsia="en-US"/>
        </w:rPr>
        <w:t xml:space="preserve"> section.</w:t>
      </w:r>
    </w:p>
    <w:p w:rsidR="00EA3032" w:rsidRPr="00EA3032" w:rsidRDefault="00EA3032" w:rsidP="00EA3032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val="en-US" w:eastAsia="en-US"/>
        </w:rPr>
      </w:pPr>
      <w:r w:rsidRPr="00EA3032">
        <w:rPr>
          <w:rFonts w:ascii="Times New Roman" w:hAnsi="Times New Roman"/>
          <w:sz w:val="24"/>
          <w:szCs w:val="24"/>
          <w:lang w:val="en-US" w:eastAsia="en-US"/>
        </w:rPr>
        <w:t xml:space="preserve">All Directors are collectively responsible for the success of the Group. In addition, the Non-Executive Directors are responsible for exercising independent, objective </w:t>
      </w:r>
      <w:proofErr w:type="spellStart"/>
      <w:r w:rsidRPr="00EA3032">
        <w:rPr>
          <w:rFonts w:ascii="Times New Roman" w:hAnsi="Times New Roman"/>
          <w:sz w:val="24"/>
          <w:szCs w:val="24"/>
          <w:lang w:val="en-US" w:eastAsia="en-US"/>
        </w:rPr>
        <w:t>judgement</w:t>
      </w:r>
      <w:proofErr w:type="spellEnd"/>
      <w:r w:rsidRPr="00EA3032">
        <w:rPr>
          <w:rFonts w:ascii="Times New Roman" w:hAnsi="Times New Roman"/>
          <w:sz w:val="24"/>
          <w:szCs w:val="24"/>
          <w:lang w:val="en-US" w:eastAsia="en-US"/>
        </w:rPr>
        <w:t xml:space="preserve"> in respect of Board decisions and for </w:t>
      </w:r>
      <w:proofErr w:type="spellStart"/>
      <w:r w:rsidRPr="00EA3032">
        <w:rPr>
          <w:rFonts w:ascii="Times New Roman" w:hAnsi="Times New Roman"/>
          <w:sz w:val="24"/>
          <w:szCs w:val="24"/>
          <w:lang w:val="en-US" w:eastAsia="en-US"/>
        </w:rPr>
        <w:t>scrutinising</w:t>
      </w:r>
      <w:proofErr w:type="spellEnd"/>
      <w:r w:rsidRPr="00EA3032">
        <w:rPr>
          <w:rFonts w:ascii="Times New Roman" w:hAnsi="Times New Roman"/>
          <w:sz w:val="24"/>
          <w:szCs w:val="24"/>
          <w:lang w:val="en-US" w:eastAsia="en-US"/>
        </w:rPr>
        <w:t xml:space="preserve"> and challenging management. The Non-Executive Directors also have various responsibilities concerning the integrity of financial information, internal controls and risk management.</w:t>
      </w:r>
    </w:p>
    <w:p w:rsidR="00EA3032" w:rsidRPr="00EA3032" w:rsidRDefault="00EA3032" w:rsidP="00EA3032">
      <w:pPr>
        <w:spacing w:before="100" w:beforeAutospacing="1" w:after="100" w:afterAutospacing="1" w:line="240" w:lineRule="auto"/>
        <w:outlineLvl w:val="2"/>
        <w:rPr>
          <w:rFonts w:ascii="Times New Roman" w:hAnsi="Times New Roman"/>
          <w:b/>
          <w:bCs/>
          <w:sz w:val="27"/>
          <w:szCs w:val="27"/>
          <w:lang w:val="en-US" w:eastAsia="en-US"/>
        </w:rPr>
      </w:pPr>
      <w:r w:rsidRPr="00EA3032">
        <w:rPr>
          <w:rFonts w:ascii="Times New Roman" w:hAnsi="Times New Roman"/>
          <w:b/>
          <w:bCs/>
          <w:sz w:val="27"/>
          <w:szCs w:val="27"/>
          <w:lang w:val="en-US" w:eastAsia="en-US"/>
        </w:rPr>
        <w:t>Board of Directors</w:t>
      </w:r>
    </w:p>
    <w:p w:rsidR="00EA3032" w:rsidRPr="00EA3032" w:rsidRDefault="00EA3032" w:rsidP="00EA3032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val="en-US" w:eastAsia="en-US"/>
        </w:rPr>
      </w:pPr>
      <w:r>
        <w:rPr>
          <w:rFonts w:ascii="Times New Roman" w:hAnsi="Times New Roman"/>
          <w:noProof/>
          <w:sz w:val="24"/>
          <w:szCs w:val="24"/>
          <w:lang w:val="en-US" w:eastAsia="en-US"/>
        </w:rPr>
        <w:drawing>
          <wp:inline distT="0" distB="0" distL="0" distR="0">
            <wp:extent cx="7174865" cy="1950720"/>
            <wp:effectExtent l="19050" t="0" r="6985" b="0"/>
            <wp:docPr id="1" name="Picture 1" descr="http://www.astrazeneca-annualreports.com/2009/images/directors_report/BOD-diagram.gif?num=23291.319570568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astrazeneca-annualreports.com/2009/images/directors_report/BOD-diagram.gif?num=23291.31957056811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4865" cy="1950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3032" w:rsidRPr="00EA3032" w:rsidRDefault="00EA3032" w:rsidP="00EA3032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val="en-US" w:eastAsia="en-US"/>
        </w:rPr>
      </w:pPr>
      <w:r w:rsidRPr="00EA3032">
        <w:rPr>
          <w:rFonts w:ascii="Times New Roman" w:hAnsi="Times New Roman"/>
          <w:sz w:val="24"/>
          <w:szCs w:val="24"/>
          <w:lang w:val="en-US" w:eastAsia="en-US"/>
        </w:rPr>
        <w:t>Balance of Non-Executive Directors and Executive Directors</w:t>
      </w:r>
    </w:p>
    <w:p w:rsidR="00EA3032" w:rsidRPr="00EA3032" w:rsidRDefault="00EA3032" w:rsidP="00EA3032">
      <w:pPr>
        <w:spacing w:after="0" w:line="240" w:lineRule="auto"/>
        <w:rPr>
          <w:rFonts w:ascii="Times New Roman" w:hAnsi="Times New Roman"/>
          <w:sz w:val="24"/>
          <w:szCs w:val="24"/>
          <w:lang w:val="en-US" w:eastAsia="en-US"/>
        </w:rPr>
      </w:pPr>
      <w:r>
        <w:rPr>
          <w:rFonts w:ascii="Times New Roman" w:hAnsi="Times New Roman"/>
          <w:noProof/>
          <w:sz w:val="24"/>
          <w:szCs w:val="24"/>
          <w:lang w:val="en-US" w:eastAsia="en-US"/>
        </w:rPr>
        <w:drawing>
          <wp:inline distT="0" distB="0" distL="0" distR="0">
            <wp:extent cx="2298065" cy="2499360"/>
            <wp:effectExtent l="19050" t="0" r="6985" b="0"/>
            <wp:docPr id="2" name="Picture 2" descr="http://www.astrazeneca-annualreports.com/2009/images/directors_report/balance-pie.gif?num=21874.4521333779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astrazeneca-annualreports.com/2009/images/directors_report/balance-pie.gif?num=21874.45213337798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8065" cy="2499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3032" w:rsidRPr="00EA3032" w:rsidRDefault="00EA3032" w:rsidP="00EA3032">
      <w:pPr>
        <w:spacing w:after="0" w:line="240" w:lineRule="auto"/>
        <w:rPr>
          <w:rFonts w:ascii="Times New Roman" w:hAnsi="Times New Roman"/>
          <w:sz w:val="24"/>
          <w:szCs w:val="24"/>
          <w:lang w:val="en-US" w:eastAsia="en-US"/>
        </w:rPr>
      </w:pPr>
      <w:r w:rsidRPr="00EA3032">
        <w:rPr>
          <w:rFonts w:ascii="Times New Roman" w:hAnsi="Times New Roman"/>
          <w:sz w:val="24"/>
          <w:szCs w:val="24"/>
          <w:vertAlign w:val="superscript"/>
          <w:lang w:val="en-US" w:eastAsia="en-US"/>
        </w:rPr>
        <w:t>1</w:t>
      </w:r>
    </w:p>
    <w:p w:rsidR="00EA3032" w:rsidRPr="00EA3032" w:rsidRDefault="00EA3032" w:rsidP="00EA3032">
      <w:pPr>
        <w:spacing w:after="0" w:line="240" w:lineRule="auto"/>
        <w:ind w:left="720"/>
        <w:rPr>
          <w:rFonts w:ascii="Times New Roman" w:hAnsi="Times New Roman"/>
          <w:sz w:val="24"/>
          <w:szCs w:val="24"/>
          <w:lang w:val="en-US" w:eastAsia="en-US"/>
        </w:rPr>
      </w:pPr>
      <w:r w:rsidRPr="00EA3032">
        <w:rPr>
          <w:rFonts w:ascii="Times New Roman" w:hAnsi="Times New Roman"/>
          <w:sz w:val="24"/>
          <w:szCs w:val="24"/>
          <w:lang w:val="en-US" w:eastAsia="en-US"/>
        </w:rPr>
        <w:t>As determined by the Board in accordance with the Combined Code.</w:t>
      </w:r>
    </w:p>
    <w:p w:rsidR="00EA3032" w:rsidRPr="00EA3032" w:rsidRDefault="00EA3032" w:rsidP="00EA3032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val="en-US" w:eastAsia="en-US"/>
        </w:rPr>
      </w:pPr>
      <w:r w:rsidRPr="00EA3032">
        <w:rPr>
          <w:rFonts w:ascii="Times New Roman" w:hAnsi="Times New Roman"/>
          <w:sz w:val="24"/>
          <w:szCs w:val="24"/>
          <w:lang w:val="en-US" w:eastAsia="en-US"/>
        </w:rPr>
        <w:t>Length of tenure of Non-Executive</w:t>
      </w:r>
      <w:r w:rsidRPr="00EA3032">
        <w:rPr>
          <w:rFonts w:ascii="Times New Roman" w:hAnsi="Times New Roman"/>
          <w:sz w:val="24"/>
          <w:szCs w:val="24"/>
          <w:lang w:val="en-US" w:eastAsia="en-US"/>
        </w:rPr>
        <w:br/>
        <w:t>Directors</w:t>
      </w:r>
    </w:p>
    <w:p w:rsidR="00EA3032" w:rsidRPr="00EA3032" w:rsidRDefault="00EA3032" w:rsidP="00EA3032">
      <w:pPr>
        <w:spacing w:after="0" w:line="240" w:lineRule="auto"/>
        <w:rPr>
          <w:rFonts w:ascii="Times New Roman" w:hAnsi="Times New Roman"/>
          <w:sz w:val="24"/>
          <w:szCs w:val="24"/>
          <w:lang w:val="en-US" w:eastAsia="en-US"/>
        </w:rPr>
      </w:pPr>
      <w:r>
        <w:rPr>
          <w:rFonts w:ascii="Times New Roman" w:hAnsi="Times New Roman"/>
          <w:noProof/>
          <w:sz w:val="24"/>
          <w:szCs w:val="24"/>
          <w:lang w:val="en-US" w:eastAsia="en-US"/>
        </w:rPr>
        <w:lastRenderedPageBreak/>
        <w:drawing>
          <wp:inline distT="0" distB="0" distL="0" distR="0">
            <wp:extent cx="2298065" cy="2499360"/>
            <wp:effectExtent l="19050" t="0" r="6985" b="0"/>
            <wp:docPr id="3" name="Picture 3" descr="http://www.astrazeneca-annualreports.com/2009/images/directors_report/tenure-pie.gif?num=15593.5112223508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astrazeneca-annualreports.com/2009/images/directors_report/tenure-pie.gif?num=15593.51122235083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8065" cy="2499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3032" w:rsidRPr="00EA3032" w:rsidRDefault="00EA3032" w:rsidP="00EA3032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val="en-US" w:eastAsia="en-US"/>
        </w:rPr>
      </w:pPr>
      <w:r w:rsidRPr="00EA3032">
        <w:rPr>
          <w:rFonts w:ascii="Times New Roman" w:hAnsi="Times New Roman"/>
          <w:sz w:val="24"/>
          <w:szCs w:val="24"/>
          <w:lang w:val="en-US" w:eastAsia="en-US"/>
        </w:rPr>
        <w:t>Gender split of Directors</w:t>
      </w:r>
    </w:p>
    <w:p w:rsidR="00EA3032" w:rsidRPr="00EA3032" w:rsidRDefault="00EA3032" w:rsidP="00EA3032">
      <w:pPr>
        <w:spacing w:after="0" w:line="240" w:lineRule="auto"/>
        <w:rPr>
          <w:rFonts w:ascii="Times New Roman" w:hAnsi="Times New Roman"/>
          <w:sz w:val="24"/>
          <w:szCs w:val="24"/>
          <w:lang w:val="en-US" w:eastAsia="en-US"/>
        </w:rPr>
      </w:pPr>
      <w:r>
        <w:rPr>
          <w:rFonts w:ascii="Times New Roman" w:hAnsi="Times New Roman"/>
          <w:noProof/>
          <w:sz w:val="24"/>
          <w:szCs w:val="24"/>
          <w:lang w:val="en-US" w:eastAsia="en-US"/>
        </w:rPr>
        <w:drawing>
          <wp:inline distT="0" distB="0" distL="0" distR="0">
            <wp:extent cx="2298065" cy="2182495"/>
            <wp:effectExtent l="19050" t="0" r="6985" b="0"/>
            <wp:docPr id="4" name="Picture 4" descr="http://www.astrazeneca-annualreports.com/2009/images/directors_report/gender-pie.gif?num=39447.306611668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astrazeneca-annualreports.com/2009/images/directors_report/gender-pie.gif?num=39447.3066116681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8065" cy="2182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3032" w:rsidRPr="00EA3032" w:rsidRDefault="00EA3032" w:rsidP="00EA3032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val="en-US" w:eastAsia="en-US"/>
        </w:rPr>
      </w:pPr>
      <w:r w:rsidRPr="00EA3032">
        <w:rPr>
          <w:rFonts w:ascii="Times New Roman" w:hAnsi="Times New Roman"/>
          <w:sz w:val="24"/>
          <w:szCs w:val="24"/>
          <w:lang w:val="en-US" w:eastAsia="en-US"/>
        </w:rPr>
        <w:t>Geographical mix of Non-Executive Directors</w:t>
      </w:r>
    </w:p>
    <w:p w:rsidR="00EA3032" w:rsidRPr="00EA3032" w:rsidRDefault="00EA3032" w:rsidP="00EA3032">
      <w:pPr>
        <w:spacing w:after="0" w:line="240" w:lineRule="auto"/>
        <w:rPr>
          <w:rFonts w:ascii="Times New Roman" w:hAnsi="Times New Roman"/>
          <w:sz w:val="24"/>
          <w:szCs w:val="24"/>
          <w:lang w:val="en-US" w:eastAsia="en-US"/>
        </w:rPr>
      </w:pPr>
      <w:r>
        <w:rPr>
          <w:rFonts w:ascii="Times New Roman" w:hAnsi="Times New Roman"/>
          <w:noProof/>
          <w:sz w:val="24"/>
          <w:szCs w:val="24"/>
          <w:lang w:val="en-US" w:eastAsia="en-US"/>
        </w:rPr>
        <w:drawing>
          <wp:inline distT="0" distB="0" distL="0" distR="0">
            <wp:extent cx="2298065" cy="2334895"/>
            <wp:effectExtent l="19050" t="0" r="6985" b="0"/>
            <wp:docPr id="5" name="Picture 5" descr="http://www.astrazeneca-annualreports.com/2009/images/directors_report/geomix-pie.gif?num=64377.9316379960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astrazeneca-annualreports.com/2009/images/directors_report/geomix-pie.gif?num=64377.93163799606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8065" cy="2334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44BC" w:rsidRDefault="006D44BC"/>
    <w:sectPr w:rsidR="006D44BC" w:rsidSect="00772867">
      <w:pgSz w:w="12240" w:h="20160" w:code="5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EA3032"/>
    <w:rsid w:val="00444A82"/>
    <w:rsid w:val="005A18A3"/>
    <w:rsid w:val="006D44BC"/>
    <w:rsid w:val="00772867"/>
    <w:rsid w:val="00951787"/>
    <w:rsid w:val="00BE0208"/>
    <w:rsid w:val="00EA30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18A3"/>
    <w:pPr>
      <w:spacing w:after="200" w:line="276" w:lineRule="auto"/>
    </w:pPr>
    <w:rPr>
      <w:sz w:val="22"/>
      <w:szCs w:val="22"/>
      <w:lang w:val="en-GB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5A18A3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A18A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5A18A3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5A18A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5A18A3"/>
    <w:rPr>
      <w:rFonts w:asciiTheme="majorHAnsi" w:eastAsiaTheme="majorEastAsia" w:hAnsiTheme="majorHAnsi" w:cstheme="majorBidi"/>
      <w:b/>
      <w:bCs/>
      <w:i/>
      <w:iCs/>
      <w:sz w:val="28"/>
      <w:szCs w:val="28"/>
      <w:lang w:val="en-GB" w:eastAsia="en-GB"/>
    </w:rPr>
  </w:style>
  <w:style w:type="character" w:customStyle="1" w:styleId="Heading3Char">
    <w:name w:val="Heading 3 Char"/>
    <w:link w:val="Heading3"/>
    <w:uiPriority w:val="9"/>
    <w:rsid w:val="005A18A3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ListParagraph">
    <w:name w:val="List Paragraph"/>
    <w:basedOn w:val="Normal"/>
    <w:uiPriority w:val="34"/>
    <w:qFormat/>
    <w:rsid w:val="005A18A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A303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 w:eastAsia="en-US"/>
    </w:rPr>
  </w:style>
  <w:style w:type="character" w:styleId="Hyperlink">
    <w:name w:val="Hyperlink"/>
    <w:basedOn w:val="DefaultParagraphFont"/>
    <w:uiPriority w:val="99"/>
    <w:semiHidden/>
    <w:unhideWhenUsed/>
    <w:rsid w:val="00EA3032"/>
    <w:rPr>
      <w:color w:val="0000FF"/>
      <w:u w:val="single"/>
    </w:rPr>
  </w:style>
  <w:style w:type="paragraph" w:customStyle="1" w:styleId="goldborder">
    <w:name w:val="gold_border"/>
    <w:basedOn w:val="Normal"/>
    <w:rsid w:val="00EA303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azpurple">
    <w:name w:val="azpurple"/>
    <w:basedOn w:val="DefaultParagraphFont"/>
    <w:rsid w:val="00EA3032"/>
  </w:style>
  <w:style w:type="paragraph" w:styleId="BalloonText">
    <w:name w:val="Balloon Text"/>
    <w:basedOn w:val="Normal"/>
    <w:link w:val="BalloonTextChar"/>
    <w:uiPriority w:val="99"/>
    <w:semiHidden/>
    <w:unhideWhenUsed/>
    <w:rsid w:val="00EA30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3032"/>
    <w:rPr>
      <w:rFonts w:ascii="Tahoma" w:hAnsi="Tahoma" w:cs="Tahoma"/>
      <w:sz w:val="16"/>
      <w:szCs w:val="16"/>
      <w:lang w:val="en-GB"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258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23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311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4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0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24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3" Type="http://schemas.openxmlformats.org/officeDocument/2006/relationships/webSettings" Target="webSettings.xml"/><Relationship Id="rId7" Type="http://schemas.openxmlformats.org/officeDocument/2006/relationships/image" Target="media/image3.g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11" Type="http://schemas.openxmlformats.org/officeDocument/2006/relationships/theme" Target="theme/theme1.xml"/><Relationship Id="rId5" Type="http://schemas.openxmlformats.org/officeDocument/2006/relationships/image" Target="media/image1.gif"/><Relationship Id="rId10" Type="http://schemas.openxmlformats.org/officeDocument/2006/relationships/fontTable" Target="fontTable.xml"/><Relationship Id="rId4" Type="http://schemas.openxmlformats.org/officeDocument/2006/relationships/hyperlink" Target="http://www.astrazeneca-annualreports.com/2009/directors_report/corp_gov/op_board/index.html" TargetMode="External"/><Relationship Id="rId9" Type="http://schemas.openxmlformats.org/officeDocument/2006/relationships/image" Target="media/image5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196</Words>
  <Characters>1122</Characters>
  <Application>Microsoft Office Word</Application>
  <DocSecurity>0</DocSecurity>
  <Lines>9</Lines>
  <Paragraphs>2</Paragraphs>
  <ScaleCrop>false</ScaleCrop>
  <Company/>
  <LinksUpToDate>false</LinksUpToDate>
  <CharactersWithSpaces>1316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dr.tahir masood</dc:creator>
  <cp:keywords/>
  <dc:description/>
  <cp:lastModifiedBy>dr.tahir masood</cp:lastModifiedBy>
  <cp:revision>1</cp:revision>
  <dcterms:created xsi:type="dcterms:W3CDTF">2012-03-14T14:08:00Z</dcterms:created>
  <dcterms:modified xsi:type="dcterms:W3CDTF">2012-03-14T14:09:00Z</dcterms:modified>
</cp:coreProperties>
</file>