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r>
        <w:rPr>
          <w:rFonts w:ascii="Palatino-Bold" w:hAnsi="Palatino-Bold" w:cs="Palatino-Bold"/>
          <w:b/>
          <w:bCs/>
          <w:sz w:val="20"/>
          <w:szCs w:val="20"/>
        </w:rPr>
        <w:t xml:space="preserve">Risk </w:t>
      </w:r>
      <w:r>
        <w:rPr>
          <w:rFonts w:ascii="Palatino-Roman" w:hAnsi="Palatino-Roman" w:cs="Palatino-Roman"/>
          <w:sz w:val="20"/>
          <w:szCs w:val="20"/>
        </w:rPr>
        <w:t xml:space="preserve">is defined in </w:t>
      </w:r>
      <w:r>
        <w:rPr>
          <w:rFonts w:ascii="Palatino-Italic" w:hAnsi="Palatino-Italic" w:cs="Palatino-Italic"/>
          <w:i/>
          <w:iCs/>
          <w:sz w:val="20"/>
          <w:szCs w:val="20"/>
        </w:rPr>
        <w:t xml:space="preserve">Webster’s </w:t>
      </w:r>
      <w:r>
        <w:rPr>
          <w:rFonts w:ascii="Palatino-Roman" w:hAnsi="Palatino-Roman" w:cs="Palatino-Roman"/>
          <w:sz w:val="20"/>
          <w:szCs w:val="20"/>
        </w:rPr>
        <w:t>as “a hazard; a peril; exposure to loss or injury.” Thus,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risk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refers to the chance that some </w:t>
      </w:r>
      <w:proofErr w:type="spellStart"/>
      <w:r>
        <w:rPr>
          <w:rFonts w:ascii="Palatino-Roman" w:hAnsi="Palatino-Roman" w:cs="Palatino-Roman"/>
          <w:sz w:val="20"/>
          <w:szCs w:val="20"/>
        </w:rPr>
        <w:t>unfavorable</w:t>
      </w:r>
      <w:proofErr w:type="spellEnd"/>
      <w:r>
        <w:rPr>
          <w:rFonts w:ascii="Palatino-Roman" w:hAnsi="Palatino-Roman" w:cs="Palatino-Roman"/>
          <w:sz w:val="20"/>
          <w:szCs w:val="20"/>
        </w:rPr>
        <w:t xml:space="preserve"> event will occur. If you go skydiving,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you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are taking a chance with your life—skydiving is risky. If you bet on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the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horses, you are risking your money. If you invest in speculative stocks (or,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really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, </w:t>
      </w:r>
      <w:r>
        <w:rPr>
          <w:rFonts w:ascii="Palatino-Italic" w:hAnsi="Palatino-Italic" w:cs="Palatino-Italic"/>
          <w:i/>
          <w:iCs/>
          <w:sz w:val="20"/>
          <w:szCs w:val="20"/>
        </w:rPr>
        <w:t xml:space="preserve">any </w:t>
      </w:r>
      <w:r>
        <w:rPr>
          <w:rFonts w:ascii="Palatino-Roman" w:hAnsi="Palatino-Roman" w:cs="Palatino-Roman"/>
          <w:sz w:val="20"/>
          <w:szCs w:val="20"/>
        </w:rPr>
        <w:t>stock), you are taking a risk in the hope of earning an appreciable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return</w:t>
      </w:r>
      <w:proofErr w:type="gramEnd"/>
      <w:r>
        <w:rPr>
          <w:rFonts w:ascii="Palatino-Roman" w:hAnsi="Palatino-Roman" w:cs="Palatino-Roman"/>
          <w:sz w:val="20"/>
          <w:szCs w:val="20"/>
        </w:rPr>
        <w:t>.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r>
        <w:rPr>
          <w:rFonts w:ascii="Palatino-Roman" w:hAnsi="Palatino-Roman" w:cs="Palatino-Roman"/>
          <w:sz w:val="20"/>
          <w:szCs w:val="20"/>
        </w:rPr>
        <w:t>An asset’s risk can be analyzed in two ways: (1) on a stand-alone basis, where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the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asset is considered in isolation, and (2) on a portfolio basis, where the asset is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held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as one of a number of assets in a portfolio. Thus, an asset’s </w:t>
      </w:r>
      <w:r>
        <w:rPr>
          <w:rFonts w:ascii="Palatino-Bold" w:hAnsi="Palatino-Bold" w:cs="Palatino-Bold"/>
          <w:b/>
          <w:bCs/>
          <w:sz w:val="20"/>
          <w:szCs w:val="20"/>
        </w:rPr>
        <w:t>stand-alone risk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is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the risk an investor would face if he or she held only this one asset. Obviously,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most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assets are held in portfolios, but it is necessary to understand stand-alone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risk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in order to understand risk in a portfolio context.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r>
        <w:rPr>
          <w:rFonts w:ascii="Palatino-Roman" w:hAnsi="Palatino-Roman" w:cs="Palatino-Roman"/>
          <w:sz w:val="20"/>
          <w:szCs w:val="20"/>
        </w:rPr>
        <w:t>To illustrate the risk of financial assets, suppose an investor buys $100,000 of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short-term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Treasury bills with an expected return of 5%. In this case, the rate of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return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on the investment, 5%, can be estimated quite precisely, and the investment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is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defined as being essentially </w:t>
      </w:r>
      <w:r>
        <w:rPr>
          <w:rFonts w:ascii="Palatino-Italic" w:hAnsi="Palatino-Italic" w:cs="Palatino-Italic"/>
          <w:i/>
          <w:iCs/>
          <w:sz w:val="20"/>
          <w:szCs w:val="20"/>
        </w:rPr>
        <w:t>risk free</w:t>
      </w:r>
      <w:r>
        <w:rPr>
          <w:rFonts w:ascii="Palatino-Roman" w:hAnsi="Palatino-Roman" w:cs="Palatino-Roman"/>
          <w:sz w:val="20"/>
          <w:szCs w:val="20"/>
        </w:rPr>
        <w:t>. However, if the $100,000 were invested in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the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stock of a company just being organized to prospect for oil in the mid-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r>
        <w:rPr>
          <w:rFonts w:ascii="Palatino-Roman" w:hAnsi="Palatino-Roman" w:cs="Palatino-Roman"/>
          <w:sz w:val="20"/>
          <w:szCs w:val="20"/>
        </w:rPr>
        <w:t>Atlantic, then the investment’s return could not be estimated precisely. One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might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analyze the situation and conclude that the </w:t>
      </w:r>
      <w:r>
        <w:rPr>
          <w:rFonts w:ascii="Palatino-Italic" w:hAnsi="Palatino-Italic" w:cs="Palatino-Italic"/>
          <w:i/>
          <w:iCs/>
          <w:sz w:val="20"/>
          <w:szCs w:val="20"/>
        </w:rPr>
        <w:t xml:space="preserve">expected </w:t>
      </w:r>
      <w:r>
        <w:rPr>
          <w:rFonts w:ascii="Palatino-Roman" w:hAnsi="Palatino-Roman" w:cs="Palatino-Roman"/>
          <w:sz w:val="20"/>
          <w:szCs w:val="20"/>
        </w:rPr>
        <w:t>rate of return, in a statistical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sense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, is 20%, but the investor should recognize that the </w:t>
      </w:r>
      <w:r>
        <w:rPr>
          <w:rFonts w:ascii="Palatino-Italic" w:hAnsi="Palatino-Italic" w:cs="Palatino-Italic"/>
          <w:i/>
          <w:iCs/>
          <w:sz w:val="20"/>
          <w:szCs w:val="20"/>
        </w:rPr>
        <w:t xml:space="preserve">actual </w:t>
      </w:r>
      <w:r>
        <w:rPr>
          <w:rFonts w:ascii="Palatino-Roman" w:hAnsi="Palatino-Roman" w:cs="Palatino-Roman"/>
          <w:sz w:val="20"/>
          <w:szCs w:val="20"/>
        </w:rPr>
        <w:t>rate of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return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could range from, say, </w:t>
      </w:r>
      <w:r>
        <w:rPr>
          <w:rFonts w:ascii="MathematicalPi-One" w:hAnsi="MathematicalPi-One" w:cs="MathematicalPi-One"/>
          <w:sz w:val="20"/>
          <w:szCs w:val="20"/>
        </w:rPr>
        <w:t>_</w:t>
      </w:r>
      <w:r>
        <w:rPr>
          <w:rFonts w:ascii="Palatino-Roman" w:hAnsi="Palatino-Roman" w:cs="Palatino-Roman"/>
          <w:sz w:val="20"/>
          <w:szCs w:val="20"/>
        </w:rPr>
        <w:t xml:space="preserve">1,000% to </w:t>
      </w:r>
      <w:r>
        <w:rPr>
          <w:rFonts w:ascii="MathematicalPi-One" w:hAnsi="MathematicalPi-One" w:cs="MathematicalPi-One"/>
          <w:sz w:val="20"/>
          <w:szCs w:val="20"/>
        </w:rPr>
        <w:t>_</w:t>
      </w:r>
      <w:r>
        <w:rPr>
          <w:rFonts w:ascii="Palatino-Roman" w:hAnsi="Palatino-Roman" w:cs="Palatino-Roman"/>
          <w:sz w:val="20"/>
          <w:szCs w:val="20"/>
        </w:rPr>
        <w:t>100%. Because there is a significant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danger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of actually earning much less than the expected return, the stock would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be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relatively risky.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Italic" w:hAnsi="Palatino-Italic" w:cs="Palatino-Italic"/>
          <w:i/>
          <w:iCs/>
          <w:sz w:val="20"/>
          <w:szCs w:val="20"/>
        </w:rPr>
      </w:pPr>
      <w:r>
        <w:rPr>
          <w:rFonts w:ascii="Palatino-Italic" w:hAnsi="Palatino-Italic" w:cs="Palatino-Italic"/>
          <w:i/>
          <w:iCs/>
          <w:sz w:val="20"/>
          <w:szCs w:val="20"/>
        </w:rPr>
        <w:t>No investment should be undertaken unless the expected rate of return is high enough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Italic" w:hAnsi="Palatino-Italic" w:cs="Palatino-Italic"/>
          <w:i/>
          <w:iCs/>
          <w:sz w:val="20"/>
          <w:szCs w:val="20"/>
        </w:rPr>
        <w:t>to</w:t>
      </w:r>
      <w:proofErr w:type="gramEnd"/>
      <w:r>
        <w:rPr>
          <w:rFonts w:ascii="Palatino-Italic" w:hAnsi="Palatino-Italic" w:cs="Palatino-Italic"/>
          <w:i/>
          <w:iCs/>
          <w:sz w:val="20"/>
          <w:szCs w:val="20"/>
        </w:rPr>
        <w:t xml:space="preserve"> compensate the investor for the perceived risk of the investment</w:t>
      </w:r>
      <w:r>
        <w:rPr>
          <w:rFonts w:ascii="Palatino-Roman" w:hAnsi="Palatino-Roman" w:cs="Palatino-Roman"/>
          <w:sz w:val="20"/>
          <w:szCs w:val="20"/>
        </w:rPr>
        <w:t>. In our example, it is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clear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that few if any investors would be willing to buy the oil company’s stock if</w:t>
      </w:r>
    </w:p>
    <w:p w:rsidR="00E90435" w:rsidRDefault="00C45068" w:rsidP="00C45068">
      <w:pPr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its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expected return were the same as that of the T-bill.</w:t>
      </w:r>
    </w:p>
    <w:p w:rsidR="00C45068" w:rsidRDefault="00C45068" w:rsidP="00C45068">
      <w:pPr>
        <w:rPr>
          <w:rFonts w:ascii="Palatino-Roman" w:hAnsi="Palatino-Roman" w:cs="Palatino-Roman"/>
          <w:sz w:val="20"/>
          <w:szCs w:val="20"/>
        </w:rPr>
      </w:pP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r>
        <w:rPr>
          <w:rFonts w:ascii="Palatino-Roman" w:hAnsi="Palatino-Roman" w:cs="Palatino-Roman"/>
          <w:color w:val="000000"/>
          <w:sz w:val="20"/>
          <w:szCs w:val="20"/>
        </w:rPr>
        <w:t>Risky assets rarely actually produce their expected rates of return; generally,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risky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assets earn either more or less than was originally expected. Indeed, if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assets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always produced their expected returns, they would not be risky.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r>
        <w:rPr>
          <w:rFonts w:ascii="Palatino-Roman" w:hAnsi="Palatino-Roman" w:cs="Palatino-Roman"/>
          <w:color w:val="000000"/>
          <w:sz w:val="20"/>
          <w:szCs w:val="20"/>
        </w:rPr>
        <w:t>Investment risk, then, is related to the probability of actually earning a low or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negative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return: The greater the chance of a low or negative return, the riskier the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investment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>. However, risk can be defined more precisely, and we do so in the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next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section.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Bartholeme-Extrabold" w:hAnsi="Bartholeme-Extrabold" w:cs="Bartholeme-Extrabold"/>
          <w:color w:val="1A9A00"/>
          <w:sz w:val="30"/>
          <w:szCs w:val="30"/>
        </w:rPr>
      </w:pPr>
      <w:r>
        <w:rPr>
          <w:rFonts w:ascii="Bartholeme-Extrabold" w:hAnsi="Bartholeme-Extrabold" w:cs="Bartholeme-Extrabold"/>
          <w:color w:val="1A9A00"/>
          <w:sz w:val="30"/>
          <w:szCs w:val="30"/>
        </w:rPr>
        <w:t>Probability Distributions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r>
        <w:rPr>
          <w:rFonts w:ascii="Palatino-Roman" w:hAnsi="Palatino-Roman" w:cs="Palatino-Roman"/>
          <w:color w:val="000000"/>
          <w:sz w:val="20"/>
          <w:szCs w:val="20"/>
        </w:rPr>
        <w:t xml:space="preserve">An event’s </w:t>
      </w:r>
      <w:r>
        <w:rPr>
          <w:rFonts w:ascii="Palatino-Italic" w:hAnsi="Palatino-Italic" w:cs="Palatino-Italic"/>
          <w:i/>
          <w:iCs/>
          <w:color w:val="000000"/>
          <w:sz w:val="20"/>
          <w:szCs w:val="20"/>
        </w:rPr>
        <w:t xml:space="preserve">probability </w:t>
      </w:r>
      <w:r>
        <w:rPr>
          <w:rFonts w:ascii="Palatino-Roman" w:hAnsi="Palatino-Roman" w:cs="Palatino-Roman"/>
          <w:color w:val="000000"/>
          <w:sz w:val="20"/>
          <w:szCs w:val="20"/>
        </w:rPr>
        <w:t>is defined as the chance that the event will occur. For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example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>, a weather forecaster might state, “There is a 40% chance of rain today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and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a 60% chance that it will not rain.” If all possible events, or outcomes, are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listed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>, and if a probability is assigned to each event, the listing is called a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Bold" w:hAnsi="Palatino-Bold" w:cs="Palatino-Bold"/>
          <w:b/>
          <w:bCs/>
          <w:color w:val="000000"/>
          <w:sz w:val="20"/>
          <w:szCs w:val="20"/>
        </w:rPr>
        <w:t>probability</w:t>
      </w:r>
      <w:proofErr w:type="gramEnd"/>
      <w:r>
        <w:rPr>
          <w:rFonts w:ascii="Palatino-Bold" w:hAnsi="Palatino-Bold" w:cs="Palatino-Bold"/>
          <w:b/>
          <w:bCs/>
          <w:color w:val="000000"/>
          <w:sz w:val="20"/>
          <w:szCs w:val="20"/>
        </w:rPr>
        <w:t xml:space="preserve"> distribution. </w:t>
      </w:r>
      <w:r>
        <w:rPr>
          <w:rFonts w:ascii="Palatino-Roman" w:hAnsi="Palatino-Roman" w:cs="Palatino-Roman"/>
          <w:color w:val="000000"/>
          <w:sz w:val="20"/>
          <w:szCs w:val="20"/>
        </w:rPr>
        <w:t>Keep in mind that the probabilities must sum to 1.0,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or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100%.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r>
        <w:rPr>
          <w:rFonts w:ascii="Palatino-Roman" w:hAnsi="Palatino-Roman" w:cs="Palatino-Roman"/>
          <w:color w:val="000000"/>
          <w:sz w:val="20"/>
          <w:szCs w:val="20"/>
        </w:rPr>
        <w:t>With this in mind, consider the possible rates of return due to dividends and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stock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price changes that you might earn next year on a $10,000 investment in the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stock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of either Sale.com or Basic Foods Inc. Sale.com is an Internet company offering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deep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discounts on factory seconds and overstocked merchandise. Because it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faces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intense competition, its new services may or may not be competitive in the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marketplace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>, so its future earnings cannot be predicted very well. Indeed, some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new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company could develop better services and literally bankrupt Sale.com. Basic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r>
        <w:rPr>
          <w:rFonts w:ascii="Palatino-Roman" w:hAnsi="Palatino-Roman" w:cs="Palatino-Roman"/>
          <w:color w:val="000000"/>
          <w:sz w:val="20"/>
          <w:szCs w:val="20"/>
        </w:rPr>
        <w:t>Foods, on the other hand, distributes essential food staples to grocery stores, and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its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sales and profits are relatively stable and predictable.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r>
        <w:rPr>
          <w:rFonts w:ascii="Palatino-Roman" w:hAnsi="Palatino-Roman" w:cs="Palatino-Roman"/>
          <w:color w:val="000000"/>
          <w:sz w:val="20"/>
          <w:szCs w:val="20"/>
        </w:rPr>
        <w:t>The rate-of-return probability distributions for the two companies are shown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in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Table 6-1. There is a 30% chance of strong demand, in which case both companies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will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have high earnings, pay high dividends, and enjoy capital gains. There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is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a 40% probability of normal demand and moderate returns, and there is a 30%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probability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of weak demand, which will mean low earnings and dividends as well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as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capital losses. Notice, however, that </w:t>
      </w:r>
      <w:proofErr w:type="spellStart"/>
      <w:r>
        <w:rPr>
          <w:rFonts w:ascii="Palatino-Roman" w:hAnsi="Palatino-Roman" w:cs="Palatino-Roman"/>
          <w:color w:val="000000"/>
          <w:sz w:val="20"/>
          <w:szCs w:val="20"/>
        </w:rPr>
        <w:t>Sale.com’s</w:t>
      </w:r>
      <w:proofErr w:type="spellEnd"/>
      <w:r>
        <w:rPr>
          <w:rFonts w:ascii="Palatino-Roman" w:hAnsi="Palatino-Roman" w:cs="Palatino-Roman"/>
          <w:color w:val="000000"/>
          <w:sz w:val="20"/>
          <w:szCs w:val="20"/>
        </w:rPr>
        <w:t xml:space="preserve"> rate of return could vary far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more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widely than that of Basic Foods. There is a fairly high probability that the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lastRenderedPageBreak/>
        <w:t>value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of </w:t>
      </w:r>
      <w:proofErr w:type="spellStart"/>
      <w:r>
        <w:rPr>
          <w:rFonts w:ascii="Palatino-Roman" w:hAnsi="Palatino-Roman" w:cs="Palatino-Roman"/>
          <w:color w:val="000000"/>
          <w:sz w:val="20"/>
          <w:szCs w:val="20"/>
        </w:rPr>
        <w:t>Sale.com’s</w:t>
      </w:r>
      <w:proofErr w:type="spellEnd"/>
      <w:r>
        <w:rPr>
          <w:rFonts w:ascii="Palatino-Roman" w:hAnsi="Palatino-Roman" w:cs="Palatino-Roman"/>
          <w:color w:val="000000"/>
          <w:sz w:val="20"/>
          <w:szCs w:val="20"/>
        </w:rPr>
        <w:t xml:space="preserve"> stock will drop substantially, resulting in a 70% loss, while</w:t>
      </w:r>
    </w:p>
    <w:p w:rsidR="00C45068" w:rsidRDefault="00C45068" w:rsidP="00C45068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color w:val="000000"/>
          <w:sz w:val="20"/>
          <w:szCs w:val="20"/>
        </w:rPr>
      </w:pPr>
      <w:proofErr w:type="gramStart"/>
      <w:r>
        <w:rPr>
          <w:rFonts w:ascii="Palatino-Roman" w:hAnsi="Palatino-Roman" w:cs="Palatino-Roman"/>
          <w:color w:val="000000"/>
          <w:sz w:val="20"/>
          <w:szCs w:val="20"/>
        </w:rPr>
        <w:t>there</w:t>
      </w:r>
      <w:proofErr w:type="gramEnd"/>
      <w:r>
        <w:rPr>
          <w:rFonts w:ascii="Palatino-Roman" w:hAnsi="Palatino-Roman" w:cs="Palatino-Roman"/>
          <w:color w:val="000000"/>
          <w:sz w:val="20"/>
          <w:szCs w:val="20"/>
        </w:rPr>
        <w:t xml:space="preserve"> is a much smaller possible loss for Basic Foods.</w:t>
      </w:r>
    </w:p>
    <w:p w:rsidR="00C45068" w:rsidRDefault="00C45068" w:rsidP="00C45068">
      <w:pPr>
        <w:rPr>
          <w:rFonts w:ascii="Palatino-Roman" w:hAnsi="Palatino-Roman" w:cs="Palatino-Roman"/>
          <w:color w:val="000000"/>
          <w:sz w:val="20"/>
          <w:szCs w:val="20"/>
        </w:rPr>
      </w:pPr>
      <w:r>
        <w:rPr>
          <w:rFonts w:ascii="Palatino-Roman" w:hAnsi="Palatino-Roman" w:cs="Palatino-Roman"/>
          <w:color w:val="000000"/>
          <w:sz w:val="20"/>
          <w:szCs w:val="20"/>
        </w:rPr>
        <w:t>Note that the following discussion of risk applies to all random variables, not</w:t>
      </w:r>
      <w:r w:rsidR="00851BC4">
        <w:rPr>
          <w:rFonts w:ascii="Palatino-Roman" w:hAnsi="Palatino-Roman" w:cs="Palatino-Roman"/>
          <w:color w:val="000000"/>
          <w:sz w:val="20"/>
          <w:szCs w:val="20"/>
        </w:rPr>
        <w:t xml:space="preserve"> </w:t>
      </w:r>
      <w:r w:rsidR="00851BC4">
        <w:rPr>
          <w:rFonts w:ascii="Palatino-Roman" w:hAnsi="Palatino-Roman" w:cs="Palatino-Roman"/>
          <w:sz w:val="20"/>
          <w:szCs w:val="20"/>
        </w:rPr>
        <w:t>just stock returns.</w:t>
      </w:r>
    </w:p>
    <w:p w:rsidR="00851BC4" w:rsidRDefault="00851BC4" w:rsidP="00C45068"/>
    <w:p w:rsidR="00C85F76" w:rsidRDefault="00C85F76" w:rsidP="00C45068"/>
    <w:p w:rsidR="00C85F76" w:rsidRDefault="00C85F76" w:rsidP="00C45068">
      <w:pPr>
        <w:rPr>
          <w:rFonts w:ascii="Bartholeme-Extrabold" w:hAnsi="Bartholeme-Extrabold" w:cs="Bartholeme-Extrabold"/>
          <w:color w:val="1A9A00"/>
          <w:sz w:val="30"/>
          <w:szCs w:val="30"/>
        </w:rPr>
      </w:pPr>
      <w:r>
        <w:rPr>
          <w:rFonts w:ascii="Bartholeme-Extrabold" w:hAnsi="Bartholeme-Extrabold" w:cs="Bartholeme-Extrabold"/>
          <w:color w:val="1A9A00"/>
          <w:sz w:val="30"/>
          <w:szCs w:val="30"/>
        </w:rPr>
        <w:t>Measuring Stand-Alone Risk: The Standard Deviation</w:t>
      </w:r>
    </w:p>
    <w:p w:rsidR="00D35A2F" w:rsidRDefault="00D35A2F" w:rsidP="00D35A2F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r>
        <w:rPr>
          <w:rFonts w:ascii="Palatino-Roman" w:hAnsi="Palatino-Roman" w:cs="Palatino-Roman"/>
          <w:sz w:val="20"/>
          <w:szCs w:val="20"/>
        </w:rPr>
        <w:t>Risk is a difficult concept to grasp, and a great deal of controversy has surrounded</w:t>
      </w:r>
    </w:p>
    <w:p w:rsidR="00D35A2F" w:rsidRDefault="00D35A2F" w:rsidP="00D35A2F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attempts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to define and measure it. However, a common definition, and one that is</w:t>
      </w:r>
    </w:p>
    <w:p w:rsidR="00D35A2F" w:rsidRDefault="00D35A2F" w:rsidP="00D35A2F">
      <w:pPr>
        <w:autoSpaceDE w:val="0"/>
        <w:autoSpaceDN w:val="0"/>
        <w:adjustRightInd w:val="0"/>
        <w:spacing w:after="0" w:line="240" w:lineRule="auto"/>
        <w:rPr>
          <w:rFonts w:ascii="Palatino-Italic" w:hAnsi="Palatino-Italic" w:cs="Palatino-Italic"/>
          <w:i/>
          <w:iCs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satisfactory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for many purposes, is stated in terms of probability distributions such as those presented in Figure 6-2: </w:t>
      </w:r>
      <w:r>
        <w:rPr>
          <w:rFonts w:ascii="Palatino-Italic" w:hAnsi="Palatino-Italic" w:cs="Palatino-Italic"/>
          <w:i/>
          <w:iCs/>
          <w:sz w:val="20"/>
          <w:szCs w:val="20"/>
        </w:rPr>
        <w:t>The tighter the probability distribution of expected</w:t>
      </w:r>
    </w:p>
    <w:p w:rsidR="00D35A2F" w:rsidRDefault="00D35A2F" w:rsidP="00D35A2F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Italic" w:hAnsi="Palatino-Italic" w:cs="Palatino-Italic"/>
          <w:i/>
          <w:iCs/>
          <w:sz w:val="20"/>
          <w:szCs w:val="20"/>
        </w:rPr>
        <w:t>future</w:t>
      </w:r>
      <w:proofErr w:type="gramEnd"/>
      <w:r>
        <w:rPr>
          <w:rFonts w:ascii="Palatino-Italic" w:hAnsi="Palatino-Italic" w:cs="Palatino-Italic"/>
          <w:i/>
          <w:iCs/>
          <w:sz w:val="20"/>
          <w:szCs w:val="20"/>
        </w:rPr>
        <w:t xml:space="preserve"> returns, the smaller the risk of a given investment</w:t>
      </w:r>
      <w:r>
        <w:rPr>
          <w:rFonts w:ascii="Palatino-Roman" w:hAnsi="Palatino-Roman" w:cs="Palatino-Roman"/>
          <w:sz w:val="20"/>
          <w:szCs w:val="20"/>
        </w:rPr>
        <w:t>. According to this definition,</w:t>
      </w:r>
    </w:p>
    <w:p w:rsidR="00D35A2F" w:rsidRDefault="00D35A2F" w:rsidP="00D35A2F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r>
        <w:rPr>
          <w:rFonts w:ascii="Palatino-Roman" w:hAnsi="Palatino-Roman" w:cs="Palatino-Roman"/>
          <w:sz w:val="20"/>
          <w:szCs w:val="20"/>
        </w:rPr>
        <w:t>Basic Foods is less risky than Sale.com because there is a smaller chance that its</w:t>
      </w:r>
    </w:p>
    <w:p w:rsidR="00D35A2F" w:rsidRDefault="00D35A2F" w:rsidP="00D35A2F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actual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return will end up far below its expected return.</w:t>
      </w:r>
    </w:p>
    <w:p w:rsidR="00D35A2F" w:rsidRDefault="00D35A2F" w:rsidP="00D35A2F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r>
        <w:rPr>
          <w:rFonts w:ascii="Palatino-Roman" w:hAnsi="Palatino-Roman" w:cs="Palatino-Roman"/>
          <w:sz w:val="20"/>
          <w:szCs w:val="20"/>
        </w:rPr>
        <w:t>To be most useful, any measure of risk should have a definite value—we need</w:t>
      </w:r>
    </w:p>
    <w:p w:rsidR="00D35A2F" w:rsidRDefault="00D35A2F" w:rsidP="00D35A2F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a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measure of the tightness of the probability distribution. One such measure is the</w:t>
      </w:r>
    </w:p>
    <w:p w:rsidR="00D35A2F" w:rsidRDefault="00D35A2F" w:rsidP="00D35A2F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Bold" w:hAnsi="Palatino-Bold" w:cs="Palatino-Bold"/>
          <w:b/>
          <w:bCs/>
          <w:sz w:val="20"/>
          <w:szCs w:val="20"/>
        </w:rPr>
        <w:t>standard</w:t>
      </w:r>
      <w:proofErr w:type="gramEnd"/>
      <w:r>
        <w:rPr>
          <w:rFonts w:ascii="Palatino-Bold" w:hAnsi="Palatino-Bold" w:cs="Palatino-Bold"/>
          <w:b/>
          <w:bCs/>
          <w:sz w:val="20"/>
          <w:szCs w:val="20"/>
        </w:rPr>
        <w:t xml:space="preserve"> deviation, </w:t>
      </w:r>
      <w:r>
        <w:rPr>
          <w:rFonts w:ascii="Palatino-Roman" w:hAnsi="Palatino-Roman" w:cs="Palatino-Roman"/>
          <w:sz w:val="20"/>
          <w:szCs w:val="20"/>
        </w:rPr>
        <w:t xml:space="preserve">the symbol for which is </w:t>
      </w:r>
      <w:r>
        <w:rPr>
          <w:rFonts w:ascii="MathematicalPi-Four" w:hAnsi="MathematicalPi-Four" w:cs="MathematicalPi-Four"/>
          <w:sz w:val="20"/>
          <w:szCs w:val="20"/>
        </w:rPr>
        <w:t>_</w:t>
      </w:r>
      <w:r>
        <w:rPr>
          <w:rFonts w:ascii="Palatino-Bold" w:hAnsi="Palatino-Bold" w:cs="Palatino-Bold"/>
          <w:b/>
          <w:bCs/>
          <w:sz w:val="20"/>
          <w:szCs w:val="20"/>
        </w:rPr>
        <w:t xml:space="preserve">, </w:t>
      </w:r>
      <w:r>
        <w:rPr>
          <w:rFonts w:ascii="Palatino-Roman" w:hAnsi="Palatino-Roman" w:cs="Palatino-Roman"/>
          <w:sz w:val="20"/>
          <w:szCs w:val="20"/>
        </w:rPr>
        <w:t>pronounced “sigma.” The smaller</w:t>
      </w:r>
    </w:p>
    <w:p w:rsidR="00D35A2F" w:rsidRDefault="00D35A2F" w:rsidP="00D35A2F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the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standard deviation, the tighter the probability distribution, and, accordingly,</w:t>
      </w:r>
    </w:p>
    <w:p w:rsidR="00D35A2F" w:rsidRDefault="00D35A2F" w:rsidP="00D35A2F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the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less risky the stock. To calculate the standard deviation, we proceed as shown</w:t>
      </w:r>
    </w:p>
    <w:p w:rsidR="00D35A2F" w:rsidRDefault="00D35A2F" w:rsidP="00D35A2F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13"/>
          <w:szCs w:val="13"/>
        </w:rPr>
      </w:pPr>
      <w:proofErr w:type="gramStart"/>
      <w:r>
        <w:rPr>
          <w:rFonts w:ascii="Palatino-Roman" w:hAnsi="Palatino-Roman" w:cs="Palatino-Roman"/>
          <w:sz w:val="20"/>
          <w:szCs w:val="20"/>
        </w:rPr>
        <w:t>in</w:t>
      </w:r>
      <w:proofErr w:type="gramEnd"/>
      <w:r>
        <w:rPr>
          <w:rFonts w:ascii="Palatino-Roman" w:hAnsi="Palatino-Roman" w:cs="Palatino-Roman"/>
          <w:sz w:val="20"/>
          <w:szCs w:val="20"/>
        </w:rPr>
        <w:t xml:space="preserve"> Table 6-3, taking the following steps:</w:t>
      </w:r>
      <w:r>
        <w:rPr>
          <w:rFonts w:ascii="Palatino-Roman" w:hAnsi="Palatino-Roman" w:cs="Palatino-Roman"/>
          <w:sz w:val="13"/>
          <w:szCs w:val="13"/>
        </w:rPr>
        <w:t>3</w:t>
      </w:r>
    </w:p>
    <w:p w:rsidR="00C85F76" w:rsidRPr="00D35A2F" w:rsidRDefault="00D35A2F" w:rsidP="00D35A2F">
      <w:pPr>
        <w:pStyle w:val="ListParagraph"/>
        <w:numPr>
          <w:ilvl w:val="0"/>
          <w:numId w:val="1"/>
        </w:numPr>
        <w:rPr>
          <w:rFonts w:ascii="Palatino-Roman" w:hAnsi="Palatino-Roman" w:cs="Palatino-Roman"/>
          <w:sz w:val="20"/>
          <w:szCs w:val="20"/>
        </w:rPr>
      </w:pPr>
      <w:r w:rsidRPr="00D35A2F">
        <w:rPr>
          <w:rFonts w:ascii="Palatino-Roman" w:hAnsi="Palatino-Roman" w:cs="Palatino-Roman"/>
          <w:sz w:val="20"/>
          <w:szCs w:val="20"/>
        </w:rPr>
        <w:t>Calculate the expected rate of return:</w:t>
      </w:r>
    </w:p>
    <w:p w:rsidR="00D35A2F" w:rsidRDefault="00D35A2F" w:rsidP="00D35A2F"/>
    <w:sectPr w:rsidR="00D35A2F" w:rsidSect="00B551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thematicalPi-On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rtholeme-Extra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thematicalPi-Fou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B4060"/>
    <w:multiLevelType w:val="hybridMultilevel"/>
    <w:tmpl w:val="FAB0CF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5068"/>
    <w:rsid w:val="00005A19"/>
    <w:rsid w:val="00006261"/>
    <w:rsid w:val="000132E9"/>
    <w:rsid w:val="00023936"/>
    <w:rsid w:val="000433A0"/>
    <w:rsid w:val="00046A38"/>
    <w:rsid w:val="00062696"/>
    <w:rsid w:val="00063344"/>
    <w:rsid w:val="00065DE8"/>
    <w:rsid w:val="00073B43"/>
    <w:rsid w:val="0007728C"/>
    <w:rsid w:val="00081C40"/>
    <w:rsid w:val="00082D47"/>
    <w:rsid w:val="00085F91"/>
    <w:rsid w:val="000A0C20"/>
    <w:rsid w:val="000A2FA7"/>
    <w:rsid w:val="000A4DC0"/>
    <w:rsid w:val="000A77F1"/>
    <w:rsid w:val="000B0B15"/>
    <w:rsid w:val="000B4886"/>
    <w:rsid w:val="000C2138"/>
    <w:rsid w:val="000C6FC0"/>
    <w:rsid w:val="000D39D8"/>
    <w:rsid w:val="000D7625"/>
    <w:rsid w:val="000E0797"/>
    <w:rsid w:val="000E173E"/>
    <w:rsid w:val="000E613B"/>
    <w:rsid w:val="000F113F"/>
    <w:rsid w:val="000F3399"/>
    <w:rsid w:val="000F4634"/>
    <w:rsid w:val="000F59AA"/>
    <w:rsid w:val="000F68D5"/>
    <w:rsid w:val="0010537B"/>
    <w:rsid w:val="0010710C"/>
    <w:rsid w:val="00117232"/>
    <w:rsid w:val="0012374A"/>
    <w:rsid w:val="0012599B"/>
    <w:rsid w:val="0013240A"/>
    <w:rsid w:val="00140665"/>
    <w:rsid w:val="00140C8E"/>
    <w:rsid w:val="00143A2C"/>
    <w:rsid w:val="00147333"/>
    <w:rsid w:val="00151F33"/>
    <w:rsid w:val="00152C51"/>
    <w:rsid w:val="0015725D"/>
    <w:rsid w:val="00163AD2"/>
    <w:rsid w:val="00163F28"/>
    <w:rsid w:val="00167FB9"/>
    <w:rsid w:val="001702DF"/>
    <w:rsid w:val="00171D9A"/>
    <w:rsid w:val="00172109"/>
    <w:rsid w:val="001731F7"/>
    <w:rsid w:val="00183A86"/>
    <w:rsid w:val="00185878"/>
    <w:rsid w:val="00187C55"/>
    <w:rsid w:val="001907CF"/>
    <w:rsid w:val="00195A45"/>
    <w:rsid w:val="001962A1"/>
    <w:rsid w:val="001A36B8"/>
    <w:rsid w:val="001A71C6"/>
    <w:rsid w:val="001B6159"/>
    <w:rsid w:val="001C3796"/>
    <w:rsid w:val="001C4542"/>
    <w:rsid w:val="001C7306"/>
    <w:rsid w:val="001D20E9"/>
    <w:rsid w:val="001D463D"/>
    <w:rsid w:val="001E73CC"/>
    <w:rsid w:val="001F1D67"/>
    <w:rsid w:val="001F720B"/>
    <w:rsid w:val="001F79B9"/>
    <w:rsid w:val="00204E18"/>
    <w:rsid w:val="0020548E"/>
    <w:rsid w:val="00211E1B"/>
    <w:rsid w:val="00214311"/>
    <w:rsid w:val="00214860"/>
    <w:rsid w:val="002218C3"/>
    <w:rsid w:val="00256CFE"/>
    <w:rsid w:val="00257EAF"/>
    <w:rsid w:val="00261909"/>
    <w:rsid w:val="00267EAA"/>
    <w:rsid w:val="002731FD"/>
    <w:rsid w:val="002803CF"/>
    <w:rsid w:val="0028273C"/>
    <w:rsid w:val="002877BA"/>
    <w:rsid w:val="00294B33"/>
    <w:rsid w:val="00295261"/>
    <w:rsid w:val="002A110A"/>
    <w:rsid w:val="002A3B7D"/>
    <w:rsid w:val="002B09C8"/>
    <w:rsid w:val="002B1D7D"/>
    <w:rsid w:val="002B38C6"/>
    <w:rsid w:val="002B7220"/>
    <w:rsid w:val="002C2740"/>
    <w:rsid w:val="002C2940"/>
    <w:rsid w:val="002C781B"/>
    <w:rsid w:val="002D1124"/>
    <w:rsid w:val="002D21D9"/>
    <w:rsid w:val="002D6F9F"/>
    <w:rsid w:val="002E39A9"/>
    <w:rsid w:val="002E7100"/>
    <w:rsid w:val="002F5010"/>
    <w:rsid w:val="002F67D7"/>
    <w:rsid w:val="002F696E"/>
    <w:rsid w:val="003010AC"/>
    <w:rsid w:val="0030183C"/>
    <w:rsid w:val="00302657"/>
    <w:rsid w:val="003047E6"/>
    <w:rsid w:val="003059A7"/>
    <w:rsid w:val="00307076"/>
    <w:rsid w:val="00311ECF"/>
    <w:rsid w:val="003127CF"/>
    <w:rsid w:val="003132C9"/>
    <w:rsid w:val="00321185"/>
    <w:rsid w:val="00325655"/>
    <w:rsid w:val="00327CB9"/>
    <w:rsid w:val="00334727"/>
    <w:rsid w:val="00334F31"/>
    <w:rsid w:val="00335458"/>
    <w:rsid w:val="0033727A"/>
    <w:rsid w:val="00342186"/>
    <w:rsid w:val="003442CC"/>
    <w:rsid w:val="00356997"/>
    <w:rsid w:val="003637BC"/>
    <w:rsid w:val="00366658"/>
    <w:rsid w:val="00367B6B"/>
    <w:rsid w:val="00380061"/>
    <w:rsid w:val="00380EA3"/>
    <w:rsid w:val="00382015"/>
    <w:rsid w:val="00393340"/>
    <w:rsid w:val="00395765"/>
    <w:rsid w:val="00397D6F"/>
    <w:rsid w:val="003A1120"/>
    <w:rsid w:val="003A5129"/>
    <w:rsid w:val="003B02F8"/>
    <w:rsid w:val="003B28E8"/>
    <w:rsid w:val="003C019F"/>
    <w:rsid w:val="003C01D0"/>
    <w:rsid w:val="003C4033"/>
    <w:rsid w:val="003D52B9"/>
    <w:rsid w:val="003D7935"/>
    <w:rsid w:val="003E42B6"/>
    <w:rsid w:val="003E4833"/>
    <w:rsid w:val="003E60F8"/>
    <w:rsid w:val="003E657F"/>
    <w:rsid w:val="003E7F32"/>
    <w:rsid w:val="003F2F5C"/>
    <w:rsid w:val="003F3721"/>
    <w:rsid w:val="003F624A"/>
    <w:rsid w:val="00405144"/>
    <w:rsid w:val="00407C93"/>
    <w:rsid w:val="00415548"/>
    <w:rsid w:val="0041620F"/>
    <w:rsid w:val="00416D8C"/>
    <w:rsid w:val="004247A6"/>
    <w:rsid w:val="00424943"/>
    <w:rsid w:val="004261F6"/>
    <w:rsid w:val="0042786C"/>
    <w:rsid w:val="00432CEE"/>
    <w:rsid w:val="00442E4E"/>
    <w:rsid w:val="004467D4"/>
    <w:rsid w:val="00446D5C"/>
    <w:rsid w:val="00446E04"/>
    <w:rsid w:val="00446E1B"/>
    <w:rsid w:val="004506AB"/>
    <w:rsid w:val="00462751"/>
    <w:rsid w:val="0046705A"/>
    <w:rsid w:val="00467332"/>
    <w:rsid w:val="00467458"/>
    <w:rsid w:val="0047347D"/>
    <w:rsid w:val="00473496"/>
    <w:rsid w:val="00477290"/>
    <w:rsid w:val="00491829"/>
    <w:rsid w:val="00491B1B"/>
    <w:rsid w:val="00496539"/>
    <w:rsid w:val="004A6B69"/>
    <w:rsid w:val="004A7AED"/>
    <w:rsid w:val="004B2B07"/>
    <w:rsid w:val="004B2C9D"/>
    <w:rsid w:val="004B4A74"/>
    <w:rsid w:val="004B5A21"/>
    <w:rsid w:val="004C0FFF"/>
    <w:rsid w:val="004C43E9"/>
    <w:rsid w:val="004C6D8A"/>
    <w:rsid w:val="004D02B0"/>
    <w:rsid w:val="004D1D6A"/>
    <w:rsid w:val="004D4189"/>
    <w:rsid w:val="004D5B34"/>
    <w:rsid w:val="004E036E"/>
    <w:rsid w:val="004F09D8"/>
    <w:rsid w:val="004F61DB"/>
    <w:rsid w:val="004F68DA"/>
    <w:rsid w:val="004F7BE8"/>
    <w:rsid w:val="00503889"/>
    <w:rsid w:val="0050750F"/>
    <w:rsid w:val="00520F96"/>
    <w:rsid w:val="00521F3E"/>
    <w:rsid w:val="00534663"/>
    <w:rsid w:val="005416D4"/>
    <w:rsid w:val="005447AA"/>
    <w:rsid w:val="00544C21"/>
    <w:rsid w:val="00545840"/>
    <w:rsid w:val="00557587"/>
    <w:rsid w:val="00564C67"/>
    <w:rsid w:val="0057309F"/>
    <w:rsid w:val="00573635"/>
    <w:rsid w:val="0057510D"/>
    <w:rsid w:val="00575232"/>
    <w:rsid w:val="0058056B"/>
    <w:rsid w:val="0058099F"/>
    <w:rsid w:val="00584C45"/>
    <w:rsid w:val="00585A5E"/>
    <w:rsid w:val="0058784C"/>
    <w:rsid w:val="00590835"/>
    <w:rsid w:val="00591438"/>
    <w:rsid w:val="00593C9D"/>
    <w:rsid w:val="005A4458"/>
    <w:rsid w:val="005A777A"/>
    <w:rsid w:val="005B5275"/>
    <w:rsid w:val="005B70B6"/>
    <w:rsid w:val="005D20AB"/>
    <w:rsid w:val="005E55DB"/>
    <w:rsid w:val="005E7A7B"/>
    <w:rsid w:val="005F17D0"/>
    <w:rsid w:val="005F1F5A"/>
    <w:rsid w:val="005F3823"/>
    <w:rsid w:val="005F3970"/>
    <w:rsid w:val="005F40A5"/>
    <w:rsid w:val="005F72DA"/>
    <w:rsid w:val="005F7B9A"/>
    <w:rsid w:val="005F7EA7"/>
    <w:rsid w:val="006021FB"/>
    <w:rsid w:val="006035C8"/>
    <w:rsid w:val="0060759F"/>
    <w:rsid w:val="00612DFC"/>
    <w:rsid w:val="006232A7"/>
    <w:rsid w:val="0062350F"/>
    <w:rsid w:val="0062489E"/>
    <w:rsid w:val="006331E1"/>
    <w:rsid w:val="00633E49"/>
    <w:rsid w:val="00643841"/>
    <w:rsid w:val="0064489D"/>
    <w:rsid w:val="00645178"/>
    <w:rsid w:val="00650321"/>
    <w:rsid w:val="006503EF"/>
    <w:rsid w:val="00650B81"/>
    <w:rsid w:val="006552C0"/>
    <w:rsid w:val="00655425"/>
    <w:rsid w:val="00656F53"/>
    <w:rsid w:val="0066060D"/>
    <w:rsid w:val="006619F0"/>
    <w:rsid w:val="0066260B"/>
    <w:rsid w:val="006634C3"/>
    <w:rsid w:val="00667A30"/>
    <w:rsid w:val="00672E4F"/>
    <w:rsid w:val="00673397"/>
    <w:rsid w:val="00674249"/>
    <w:rsid w:val="00675DC5"/>
    <w:rsid w:val="00680CD8"/>
    <w:rsid w:val="00690ECC"/>
    <w:rsid w:val="00693B29"/>
    <w:rsid w:val="006A4922"/>
    <w:rsid w:val="006A4E3C"/>
    <w:rsid w:val="006A5A14"/>
    <w:rsid w:val="006B35DE"/>
    <w:rsid w:val="006B70DC"/>
    <w:rsid w:val="006C43D9"/>
    <w:rsid w:val="006C6142"/>
    <w:rsid w:val="006D1683"/>
    <w:rsid w:val="006D76CA"/>
    <w:rsid w:val="006E1EFC"/>
    <w:rsid w:val="006F557A"/>
    <w:rsid w:val="006F7EA6"/>
    <w:rsid w:val="00700CBE"/>
    <w:rsid w:val="00703409"/>
    <w:rsid w:val="00703E7E"/>
    <w:rsid w:val="00705098"/>
    <w:rsid w:val="00705A73"/>
    <w:rsid w:val="0071659A"/>
    <w:rsid w:val="00717B80"/>
    <w:rsid w:val="00722AAE"/>
    <w:rsid w:val="00724D03"/>
    <w:rsid w:val="00724F4B"/>
    <w:rsid w:val="00726A7C"/>
    <w:rsid w:val="007274FC"/>
    <w:rsid w:val="00734F57"/>
    <w:rsid w:val="00735EF8"/>
    <w:rsid w:val="007436C9"/>
    <w:rsid w:val="00746540"/>
    <w:rsid w:val="00746AFA"/>
    <w:rsid w:val="00764CCF"/>
    <w:rsid w:val="007651FE"/>
    <w:rsid w:val="0076794E"/>
    <w:rsid w:val="007715E7"/>
    <w:rsid w:val="00772CCA"/>
    <w:rsid w:val="007745F1"/>
    <w:rsid w:val="007772AF"/>
    <w:rsid w:val="00787042"/>
    <w:rsid w:val="007948C2"/>
    <w:rsid w:val="007B13E9"/>
    <w:rsid w:val="007C3C8F"/>
    <w:rsid w:val="007C585F"/>
    <w:rsid w:val="007E19A5"/>
    <w:rsid w:val="007E39CB"/>
    <w:rsid w:val="007F0BBE"/>
    <w:rsid w:val="007F381D"/>
    <w:rsid w:val="007F5155"/>
    <w:rsid w:val="007F7662"/>
    <w:rsid w:val="00803A42"/>
    <w:rsid w:val="00803A62"/>
    <w:rsid w:val="008122A8"/>
    <w:rsid w:val="008225E2"/>
    <w:rsid w:val="00823D0B"/>
    <w:rsid w:val="00826489"/>
    <w:rsid w:val="00826902"/>
    <w:rsid w:val="00827726"/>
    <w:rsid w:val="00836B2B"/>
    <w:rsid w:val="0084264A"/>
    <w:rsid w:val="00842DC4"/>
    <w:rsid w:val="00851BC4"/>
    <w:rsid w:val="00857D8E"/>
    <w:rsid w:val="008605D7"/>
    <w:rsid w:val="00860AE5"/>
    <w:rsid w:val="00870214"/>
    <w:rsid w:val="00871A9F"/>
    <w:rsid w:val="00874EB2"/>
    <w:rsid w:val="008767D0"/>
    <w:rsid w:val="008863F2"/>
    <w:rsid w:val="008866C3"/>
    <w:rsid w:val="00894789"/>
    <w:rsid w:val="008947ED"/>
    <w:rsid w:val="00895E44"/>
    <w:rsid w:val="008A159D"/>
    <w:rsid w:val="008A4402"/>
    <w:rsid w:val="008A7706"/>
    <w:rsid w:val="008A7BCC"/>
    <w:rsid w:val="008B311A"/>
    <w:rsid w:val="008C1844"/>
    <w:rsid w:val="008C3CA5"/>
    <w:rsid w:val="008E4E91"/>
    <w:rsid w:val="008F0DA7"/>
    <w:rsid w:val="008F16F3"/>
    <w:rsid w:val="008F4BCF"/>
    <w:rsid w:val="009014C2"/>
    <w:rsid w:val="00901769"/>
    <w:rsid w:val="0090228A"/>
    <w:rsid w:val="00903B9A"/>
    <w:rsid w:val="00905188"/>
    <w:rsid w:val="00906211"/>
    <w:rsid w:val="00912D95"/>
    <w:rsid w:val="009138FA"/>
    <w:rsid w:val="00916242"/>
    <w:rsid w:val="00916DEE"/>
    <w:rsid w:val="00921427"/>
    <w:rsid w:val="00922F0C"/>
    <w:rsid w:val="009253D1"/>
    <w:rsid w:val="00926AD2"/>
    <w:rsid w:val="00943E6A"/>
    <w:rsid w:val="00952BF8"/>
    <w:rsid w:val="009543AB"/>
    <w:rsid w:val="00965524"/>
    <w:rsid w:val="00976E11"/>
    <w:rsid w:val="009775CC"/>
    <w:rsid w:val="00981482"/>
    <w:rsid w:val="00981C5D"/>
    <w:rsid w:val="0098625B"/>
    <w:rsid w:val="0098786A"/>
    <w:rsid w:val="00990F3D"/>
    <w:rsid w:val="0099275C"/>
    <w:rsid w:val="00997124"/>
    <w:rsid w:val="009978ED"/>
    <w:rsid w:val="009A37D9"/>
    <w:rsid w:val="009B339E"/>
    <w:rsid w:val="009B789E"/>
    <w:rsid w:val="009C5A6D"/>
    <w:rsid w:val="009D110B"/>
    <w:rsid w:val="009D3021"/>
    <w:rsid w:val="009D32BC"/>
    <w:rsid w:val="009E0E67"/>
    <w:rsid w:val="009E0FD2"/>
    <w:rsid w:val="009E4E55"/>
    <w:rsid w:val="009E78C9"/>
    <w:rsid w:val="009F36CE"/>
    <w:rsid w:val="009F6B27"/>
    <w:rsid w:val="009F6E59"/>
    <w:rsid w:val="009F77C0"/>
    <w:rsid w:val="00A10EC2"/>
    <w:rsid w:val="00A10FFD"/>
    <w:rsid w:val="00A11AFC"/>
    <w:rsid w:val="00A14C78"/>
    <w:rsid w:val="00A2256D"/>
    <w:rsid w:val="00A249A3"/>
    <w:rsid w:val="00A40D2B"/>
    <w:rsid w:val="00A4178B"/>
    <w:rsid w:val="00A425EF"/>
    <w:rsid w:val="00A42A45"/>
    <w:rsid w:val="00A43190"/>
    <w:rsid w:val="00A43CB5"/>
    <w:rsid w:val="00A45376"/>
    <w:rsid w:val="00A46EE2"/>
    <w:rsid w:val="00A549C3"/>
    <w:rsid w:val="00A56FB3"/>
    <w:rsid w:val="00A6033D"/>
    <w:rsid w:val="00A65194"/>
    <w:rsid w:val="00A6770D"/>
    <w:rsid w:val="00A67E38"/>
    <w:rsid w:val="00A7010A"/>
    <w:rsid w:val="00A70E00"/>
    <w:rsid w:val="00A71D9A"/>
    <w:rsid w:val="00A728E7"/>
    <w:rsid w:val="00A74264"/>
    <w:rsid w:val="00A758AD"/>
    <w:rsid w:val="00A75B78"/>
    <w:rsid w:val="00A77A69"/>
    <w:rsid w:val="00A82A9B"/>
    <w:rsid w:val="00A852F3"/>
    <w:rsid w:val="00A86D58"/>
    <w:rsid w:val="00A900C0"/>
    <w:rsid w:val="00A94B18"/>
    <w:rsid w:val="00A96531"/>
    <w:rsid w:val="00AA30EB"/>
    <w:rsid w:val="00AA4C33"/>
    <w:rsid w:val="00AA67C0"/>
    <w:rsid w:val="00AB00C5"/>
    <w:rsid w:val="00AB154F"/>
    <w:rsid w:val="00AB45F2"/>
    <w:rsid w:val="00AB7BCC"/>
    <w:rsid w:val="00AC47D4"/>
    <w:rsid w:val="00AD1A46"/>
    <w:rsid w:val="00AD2184"/>
    <w:rsid w:val="00AD48BD"/>
    <w:rsid w:val="00AE4013"/>
    <w:rsid w:val="00B035C2"/>
    <w:rsid w:val="00B114B4"/>
    <w:rsid w:val="00B13D4D"/>
    <w:rsid w:val="00B252E2"/>
    <w:rsid w:val="00B3174B"/>
    <w:rsid w:val="00B32150"/>
    <w:rsid w:val="00B41562"/>
    <w:rsid w:val="00B41EED"/>
    <w:rsid w:val="00B459EB"/>
    <w:rsid w:val="00B504D1"/>
    <w:rsid w:val="00B53D53"/>
    <w:rsid w:val="00B54066"/>
    <w:rsid w:val="00B55138"/>
    <w:rsid w:val="00B615BE"/>
    <w:rsid w:val="00B6245D"/>
    <w:rsid w:val="00B63C78"/>
    <w:rsid w:val="00B653E8"/>
    <w:rsid w:val="00B659B1"/>
    <w:rsid w:val="00B65C5B"/>
    <w:rsid w:val="00B65D78"/>
    <w:rsid w:val="00B663D7"/>
    <w:rsid w:val="00B67132"/>
    <w:rsid w:val="00B707E9"/>
    <w:rsid w:val="00B719D6"/>
    <w:rsid w:val="00B90C1F"/>
    <w:rsid w:val="00B925A8"/>
    <w:rsid w:val="00B92774"/>
    <w:rsid w:val="00B928BE"/>
    <w:rsid w:val="00B93777"/>
    <w:rsid w:val="00B94106"/>
    <w:rsid w:val="00BA618C"/>
    <w:rsid w:val="00BB3484"/>
    <w:rsid w:val="00BB4561"/>
    <w:rsid w:val="00BC22DD"/>
    <w:rsid w:val="00BC37E1"/>
    <w:rsid w:val="00BC5BF9"/>
    <w:rsid w:val="00BC6663"/>
    <w:rsid w:val="00BC7488"/>
    <w:rsid w:val="00BC7AF9"/>
    <w:rsid w:val="00BD0663"/>
    <w:rsid w:val="00BE0C01"/>
    <w:rsid w:val="00BE3FE4"/>
    <w:rsid w:val="00BE6D33"/>
    <w:rsid w:val="00BF2DF1"/>
    <w:rsid w:val="00BF46DE"/>
    <w:rsid w:val="00C00247"/>
    <w:rsid w:val="00C01259"/>
    <w:rsid w:val="00C049B1"/>
    <w:rsid w:val="00C05A1D"/>
    <w:rsid w:val="00C14AF6"/>
    <w:rsid w:val="00C1562A"/>
    <w:rsid w:val="00C17D4D"/>
    <w:rsid w:val="00C20126"/>
    <w:rsid w:val="00C23306"/>
    <w:rsid w:val="00C32DEB"/>
    <w:rsid w:val="00C33A71"/>
    <w:rsid w:val="00C378A1"/>
    <w:rsid w:val="00C45068"/>
    <w:rsid w:val="00C56D9E"/>
    <w:rsid w:val="00C57320"/>
    <w:rsid w:val="00C579E4"/>
    <w:rsid w:val="00C603D2"/>
    <w:rsid w:val="00C66274"/>
    <w:rsid w:val="00C71D98"/>
    <w:rsid w:val="00C741DC"/>
    <w:rsid w:val="00C745D6"/>
    <w:rsid w:val="00C777BB"/>
    <w:rsid w:val="00C8199C"/>
    <w:rsid w:val="00C83A92"/>
    <w:rsid w:val="00C84D64"/>
    <w:rsid w:val="00C85C7C"/>
    <w:rsid w:val="00C85F76"/>
    <w:rsid w:val="00CA41BC"/>
    <w:rsid w:val="00CA42E1"/>
    <w:rsid w:val="00CA72E1"/>
    <w:rsid w:val="00CB1B76"/>
    <w:rsid w:val="00CB4074"/>
    <w:rsid w:val="00CC0946"/>
    <w:rsid w:val="00CC5BFA"/>
    <w:rsid w:val="00CD687B"/>
    <w:rsid w:val="00CD693B"/>
    <w:rsid w:val="00CE0884"/>
    <w:rsid w:val="00CE1E34"/>
    <w:rsid w:val="00CE2004"/>
    <w:rsid w:val="00CE3F27"/>
    <w:rsid w:val="00CE4F66"/>
    <w:rsid w:val="00CE5B0B"/>
    <w:rsid w:val="00CF1A8D"/>
    <w:rsid w:val="00CF3625"/>
    <w:rsid w:val="00CF3917"/>
    <w:rsid w:val="00CF527B"/>
    <w:rsid w:val="00CF5A2C"/>
    <w:rsid w:val="00CF68BE"/>
    <w:rsid w:val="00CF6B8B"/>
    <w:rsid w:val="00D00129"/>
    <w:rsid w:val="00D0581F"/>
    <w:rsid w:val="00D164DE"/>
    <w:rsid w:val="00D30204"/>
    <w:rsid w:val="00D35A2F"/>
    <w:rsid w:val="00D35FBD"/>
    <w:rsid w:val="00D4473E"/>
    <w:rsid w:val="00D46CF1"/>
    <w:rsid w:val="00D515DE"/>
    <w:rsid w:val="00D70AEB"/>
    <w:rsid w:val="00D73B41"/>
    <w:rsid w:val="00D74A16"/>
    <w:rsid w:val="00D8245E"/>
    <w:rsid w:val="00D82E58"/>
    <w:rsid w:val="00D84549"/>
    <w:rsid w:val="00D9083B"/>
    <w:rsid w:val="00D9314C"/>
    <w:rsid w:val="00D93550"/>
    <w:rsid w:val="00D953CE"/>
    <w:rsid w:val="00D95FEB"/>
    <w:rsid w:val="00D97FDE"/>
    <w:rsid w:val="00DA372B"/>
    <w:rsid w:val="00DA4784"/>
    <w:rsid w:val="00DA7A1A"/>
    <w:rsid w:val="00DB3CD0"/>
    <w:rsid w:val="00DC0641"/>
    <w:rsid w:val="00DD1ADE"/>
    <w:rsid w:val="00DE5469"/>
    <w:rsid w:val="00DE63D2"/>
    <w:rsid w:val="00DF0A5D"/>
    <w:rsid w:val="00E00CF6"/>
    <w:rsid w:val="00E121B5"/>
    <w:rsid w:val="00E1325D"/>
    <w:rsid w:val="00E169C2"/>
    <w:rsid w:val="00E17C4F"/>
    <w:rsid w:val="00E2214B"/>
    <w:rsid w:val="00E24E1E"/>
    <w:rsid w:val="00E31136"/>
    <w:rsid w:val="00E40E7B"/>
    <w:rsid w:val="00E45D12"/>
    <w:rsid w:val="00E534E8"/>
    <w:rsid w:val="00E5783C"/>
    <w:rsid w:val="00E6072D"/>
    <w:rsid w:val="00E61145"/>
    <w:rsid w:val="00E63BF2"/>
    <w:rsid w:val="00E75EAF"/>
    <w:rsid w:val="00E80102"/>
    <w:rsid w:val="00E84149"/>
    <w:rsid w:val="00E87068"/>
    <w:rsid w:val="00E87CAF"/>
    <w:rsid w:val="00E90435"/>
    <w:rsid w:val="00E930FC"/>
    <w:rsid w:val="00EA1BA9"/>
    <w:rsid w:val="00EA544F"/>
    <w:rsid w:val="00EA5872"/>
    <w:rsid w:val="00EA6763"/>
    <w:rsid w:val="00EA7203"/>
    <w:rsid w:val="00EB4145"/>
    <w:rsid w:val="00EC671B"/>
    <w:rsid w:val="00ED0F37"/>
    <w:rsid w:val="00ED2982"/>
    <w:rsid w:val="00ED40A4"/>
    <w:rsid w:val="00ED44EA"/>
    <w:rsid w:val="00EE4EAA"/>
    <w:rsid w:val="00EF1E14"/>
    <w:rsid w:val="00EF51DD"/>
    <w:rsid w:val="00EF757E"/>
    <w:rsid w:val="00F00B98"/>
    <w:rsid w:val="00F00CF5"/>
    <w:rsid w:val="00F04256"/>
    <w:rsid w:val="00F04CC6"/>
    <w:rsid w:val="00F10491"/>
    <w:rsid w:val="00F121CC"/>
    <w:rsid w:val="00F156AA"/>
    <w:rsid w:val="00F17D33"/>
    <w:rsid w:val="00F2104B"/>
    <w:rsid w:val="00F22F69"/>
    <w:rsid w:val="00F25633"/>
    <w:rsid w:val="00F33D45"/>
    <w:rsid w:val="00F344EA"/>
    <w:rsid w:val="00F40E25"/>
    <w:rsid w:val="00F437FD"/>
    <w:rsid w:val="00F44BD7"/>
    <w:rsid w:val="00F46B24"/>
    <w:rsid w:val="00F51AC5"/>
    <w:rsid w:val="00F561CF"/>
    <w:rsid w:val="00F5689C"/>
    <w:rsid w:val="00F63557"/>
    <w:rsid w:val="00F65A4C"/>
    <w:rsid w:val="00F7019B"/>
    <w:rsid w:val="00F77FCE"/>
    <w:rsid w:val="00F8030B"/>
    <w:rsid w:val="00F83CD3"/>
    <w:rsid w:val="00F83FD7"/>
    <w:rsid w:val="00F87723"/>
    <w:rsid w:val="00F906B6"/>
    <w:rsid w:val="00F95FEF"/>
    <w:rsid w:val="00FA72B5"/>
    <w:rsid w:val="00FB041B"/>
    <w:rsid w:val="00FB0B0E"/>
    <w:rsid w:val="00FB1265"/>
    <w:rsid w:val="00FB1C5F"/>
    <w:rsid w:val="00FB53AF"/>
    <w:rsid w:val="00FB5B78"/>
    <w:rsid w:val="00FC62EB"/>
    <w:rsid w:val="00FD12DA"/>
    <w:rsid w:val="00FD24F4"/>
    <w:rsid w:val="00FD43E6"/>
    <w:rsid w:val="00FD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1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5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06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A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J Ilyas</dc:creator>
  <cp:lastModifiedBy>M J Ilyas</cp:lastModifiedBy>
  <cp:revision>2</cp:revision>
  <dcterms:created xsi:type="dcterms:W3CDTF">2013-06-17T09:13:00Z</dcterms:created>
  <dcterms:modified xsi:type="dcterms:W3CDTF">2013-06-17T10:34:00Z</dcterms:modified>
</cp:coreProperties>
</file>