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7976C0">
      <w:pPr>
        <w:widowControl w:val="0"/>
        <w:autoSpaceDE w:val="0"/>
        <w:autoSpaceDN w:val="0"/>
        <w:adjustRightInd w:val="0"/>
        <w:spacing w:after="0" w:line="249" w:lineRule="exact"/>
        <w:rPr>
          <w:rFonts w:ascii="Times New Roman" w:hAnsi="Times New Roman"/>
          <w:sz w:val="24"/>
          <w:szCs w:val="24"/>
        </w:rPr>
      </w:pPr>
      <w:r w:rsidRPr="007976C0">
        <w:rPr>
          <w:rFonts w:ascii="Times New Roman" w:hAnsi="Times New Roman"/>
          <w:sz w:val="24"/>
          <w:szCs w:val="24"/>
        </w:rPr>
        <w:t>Inflation and Its Impact on Project Cash Flows</w:t>
      </w:r>
    </w:p>
    <w:p w:rsidR="007976C0" w:rsidRDefault="007976C0">
      <w:pPr>
        <w:widowControl w:val="0"/>
        <w:autoSpaceDE w:val="0"/>
        <w:autoSpaceDN w:val="0"/>
        <w:adjustRightInd w:val="0"/>
        <w:spacing w:after="0" w:line="240" w:lineRule="auto"/>
        <w:ind w:left="3760"/>
        <w:rPr>
          <w:rFonts w:ascii="Times New Roman" w:hAnsi="Times New Roman"/>
          <w:b/>
          <w:bCs/>
          <w:sz w:val="24"/>
          <w:szCs w:val="24"/>
        </w:rPr>
      </w:pPr>
    </w:p>
    <w:p w:rsidR="00EA749C" w:rsidRDefault="007A1480">
      <w:pPr>
        <w:widowControl w:val="0"/>
        <w:autoSpaceDE w:val="0"/>
        <w:autoSpaceDN w:val="0"/>
        <w:adjustRightInd w:val="0"/>
        <w:spacing w:after="0" w:line="240" w:lineRule="auto"/>
        <w:ind w:left="3760"/>
        <w:rPr>
          <w:rFonts w:ascii="Times New Roman" w:hAnsi="Times New Roman"/>
          <w:sz w:val="24"/>
          <w:szCs w:val="24"/>
        </w:rPr>
      </w:pPr>
      <w:r>
        <w:rPr>
          <w:rFonts w:ascii="Times New Roman" w:hAnsi="Times New Roman"/>
          <w:b/>
          <w:bCs/>
          <w:sz w:val="24"/>
          <w:szCs w:val="24"/>
        </w:rPr>
        <w:t>INTRODUCTION</w:t>
      </w:r>
    </w:p>
    <w:p w:rsidR="00EA749C" w:rsidRDefault="00EA749C">
      <w:pPr>
        <w:widowControl w:val="0"/>
        <w:autoSpaceDE w:val="0"/>
        <w:autoSpaceDN w:val="0"/>
        <w:adjustRightInd w:val="0"/>
        <w:spacing w:after="0" w:line="25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9" w:lineRule="auto"/>
        <w:ind w:firstLine="269"/>
        <w:jc w:val="both"/>
        <w:rPr>
          <w:rFonts w:ascii="Times New Roman" w:hAnsi="Times New Roman"/>
          <w:sz w:val="24"/>
          <w:szCs w:val="24"/>
        </w:rPr>
      </w:pPr>
      <w:r>
        <w:rPr>
          <w:rFonts w:ascii="Times" w:hAnsi="Times" w:cs="Times"/>
          <w:sz w:val="20"/>
          <w:szCs w:val="20"/>
        </w:rPr>
        <w:t xml:space="preserve">A major impact on both financial theory and the practice of financial decision making has been the economic instability, especially in prices, evidenced in the U.S. economy since the mid 1960’s. Inflation in the past few years has not been a major </w:t>
      </w:r>
      <w:proofErr w:type="spellStart"/>
      <w:r>
        <w:rPr>
          <w:rFonts w:ascii="Times" w:hAnsi="Times" w:cs="Times"/>
          <w:sz w:val="20"/>
          <w:szCs w:val="20"/>
        </w:rPr>
        <w:t>macro economic</w:t>
      </w:r>
      <w:proofErr w:type="spellEnd"/>
      <w:r>
        <w:rPr>
          <w:rFonts w:ascii="Times" w:hAnsi="Times" w:cs="Times"/>
          <w:sz w:val="20"/>
          <w:szCs w:val="20"/>
        </w:rPr>
        <w:t xml:space="preserve"> problem, but its </w:t>
      </w:r>
      <w:proofErr w:type="spellStart"/>
      <w:r>
        <w:rPr>
          <w:rFonts w:ascii="Times" w:hAnsi="Times" w:cs="Times"/>
          <w:sz w:val="20"/>
          <w:szCs w:val="20"/>
        </w:rPr>
        <w:t>spectere</w:t>
      </w:r>
      <w:proofErr w:type="spellEnd"/>
      <w:r>
        <w:rPr>
          <w:rFonts w:ascii="Times" w:hAnsi="Times" w:cs="Times"/>
          <w:sz w:val="20"/>
          <w:szCs w:val="20"/>
        </w:rPr>
        <w:t>, as demonstrated by the Fed’s recent increases in interest rates, is never for the agendas of financial decision makers. Macro economic instability has necessitated that expectations about the future rate of inflation be taken into consideration in making decision(s) about which capital projects will be undertaken by a firm. Nominal cash flows determine its degree of profitability. However, in making the capital budgeting decision both real and nominal concepts must be considered. The purpose of this paper is to continue the discussion of the role of inflation in capital budgeting, and to focus on the individual components of the process to draw specific conclusions with respect to the interaction between the cost of capital, inflation, and the cash flow variables within a DCF - IRR framework.</w:t>
      </w:r>
    </w:p>
    <w:p w:rsidR="00EA749C" w:rsidRDefault="00EA749C">
      <w:pPr>
        <w:widowControl w:val="0"/>
        <w:autoSpaceDE w:val="0"/>
        <w:autoSpaceDN w:val="0"/>
        <w:adjustRightInd w:val="0"/>
        <w:spacing w:after="0" w:line="14"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9" w:lineRule="auto"/>
        <w:ind w:firstLine="269"/>
        <w:jc w:val="both"/>
        <w:rPr>
          <w:rFonts w:ascii="Times New Roman" w:hAnsi="Times New Roman"/>
          <w:sz w:val="24"/>
          <w:szCs w:val="24"/>
        </w:rPr>
      </w:pPr>
      <w:r>
        <w:rPr>
          <w:rFonts w:ascii="Times" w:hAnsi="Times" w:cs="Times"/>
          <w:sz w:val="20"/>
          <w:szCs w:val="20"/>
        </w:rPr>
        <w:t xml:space="preserve">Much research has been published examining the impact of inflation on the capital budgeting decision making process, and, although inflation is not currently a serious problem, bitter lessons from the 1975-1985 period of rapid price increases, coupled with the potential of future inflation, argue for continued research in this field. In a famous article, </w:t>
      </w:r>
      <w:proofErr w:type="spellStart"/>
      <w:r>
        <w:rPr>
          <w:rFonts w:ascii="Times" w:hAnsi="Times" w:cs="Times"/>
          <w:sz w:val="20"/>
          <w:szCs w:val="20"/>
        </w:rPr>
        <w:t>Rappaport</w:t>
      </w:r>
      <w:proofErr w:type="spellEnd"/>
      <w:r>
        <w:rPr>
          <w:rFonts w:ascii="Times" w:hAnsi="Times" w:cs="Times"/>
          <w:sz w:val="20"/>
          <w:szCs w:val="20"/>
        </w:rPr>
        <w:t xml:space="preserve"> and Taggart [14] examined various methods for incorporating the effect of inflation into capital budgeting. They provided an analysis which showed the differential impact of using a gross profit per unit approach, a nominal cash flow approach (where individual forecasts are incorporated into each component of cash flow) and a real cash flow approach in which a general price deflator is used to deflate nominal cash flows.</w:t>
      </w:r>
    </w:p>
    <w:p w:rsidR="00EA749C" w:rsidRDefault="00EA749C">
      <w:pPr>
        <w:widowControl w:val="0"/>
        <w:autoSpaceDE w:val="0"/>
        <w:autoSpaceDN w:val="0"/>
        <w:adjustRightInd w:val="0"/>
        <w:spacing w:after="0" w:line="10"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9" w:lineRule="auto"/>
        <w:ind w:firstLine="269"/>
        <w:jc w:val="both"/>
        <w:rPr>
          <w:rFonts w:ascii="Times New Roman" w:hAnsi="Times New Roman"/>
          <w:sz w:val="24"/>
          <w:szCs w:val="24"/>
        </w:rPr>
      </w:pPr>
      <w:r>
        <w:rPr>
          <w:rFonts w:ascii="Times" w:hAnsi="Times" w:cs="Times"/>
          <w:sz w:val="20"/>
          <w:szCs w:val="20"/>
        </w:rPr>
        <w:t xml:space="preserve">In another early article dealing </w:t>
      </w:r>
      <w:r w:rsidR="005C05E2">
        <w:rPr>
          <w:rFonts w:ascii="Times" w:hAnsi="Times" w:cs="Times"/>
          <w:sz w:val="20"/>
          <w:szCs w:val="20"/>
        </w:rPr>
        <w:t xml:space="preserve">with the subject, Van </w:t>
      </w:r>
      <w:proofErr w:type="gramStart"/>
      <w:r w:rsidR="005C05E2">
        <w:rPr>
          <w:rFonts w:ascii="Times" w:hAnsi="Times" w:cs="Times"/>
          <w:sz w:val="20"/>
          <w:szCs w:val="20"/>
        </w:rPr>
        <w:t xml:space="preserve">Horne </w:t>
      </w:r>
      <w:r>
        <w:rPr>
          <w:rFonts w:ascii="Times" w:hAnsi="Times" w:cs="Times"/>
          <w:sz w:val="20"/>
          <w:szCs w:val="20"/>
        </w:rPr>
        <w:t xml:space="preserve"> showed</w:t>
      </w:r>
      <w:proofErr w:type="gramEnd"/>
      <w:r>
        <w:rPr>
          <w:rFonts w:ascii="Times" w:hAnsi="Times" w:cs="Times"/>
          <w:sz w:val="20"/>
          <w:szCs w:val="20"/>
        </w:rPr>
        <w:t xml:space="preserve"> that to be consistent, inflation in forecasting cash flows must also be reflected in a discount rate containing inflation; that is, a bias was introduced if nominal cash flows were discounted at the real and not nominal cost of capital. Cooley, </w:t>
      </w:r>
      <w:proofErr w:type="spellStart"/>
      <w:r>
        <w:rPr>
          <w:rFonts w:ascii="Times" w:hAnsi="Times" w:cs="Times"/>
          <w:sz w:val="20"/>
          <w:szCs w:val="20"/>
        </w:rPr>
        <w:t>Roenfeldt</w:t>
      </w:r>
      <w:proofErr w:type="spellEnd"/>
      <w:r>
        <w:rPr>
          <w:rFonts w:ascii="Times" w:hAnsi="Times" w:cs="Times"/>
          <w:sz w:val="20"/>
          <w:szCs w:val="20"/>
        </w:rPr>
        <w:t xml:space="preserve"> and Chew revealed the mechanics by which inflation adjustments can be incorporated into the capital budgeting process [6]</w:t>
      </w:r>
      <w:r w:rsidR="005C05E2">
        <w:rPr>
          <w:rFonts w:ascii="Times" w:hAnsi="Times" w:cs="Times"/>
          <w:sz w:val="20"/>
          <w:szCs w:val="20"/>
        </w:rPr>
        <w:t xml:space="preserve">. At the same time, Nelson </w:t>
      </w:r>
      <w:r>
        <w:rPr>
          <w:rFonts w:ascii="Times" w:hAnsi="Times" w:cs="Times"/>
          <w:sz w:val="20"/>
          <w:szCs w:val="20"/>
        </w:rPr>
        <w:t>demonstrated the theoretical impact of inflation on capital budgeting and showed how inflation would shift the entire NPV schedule of a capital budget downward for a set or projects. Bailey and Jensen [1] have analyzed how price level adjustments affect the process in detail and specifically how various price level adjustments might change the ranking of projects.</w:t>
      </w:r>
    </w:p>
    <w:p w:rsidR="00EA749C" w:rsidRDefault="00EA749C">
      <w:pPr>
        <w:widowControl w:val="0"/>
        <w:autoSpaceDE w:val="0"/>
        <w:autoSpaceDN w:val="0"/>
        <w:adjustRightInd w:val="0"/>
        <w:spacing w:after="0" w:line="11" w:lineRule="exact"/>
        <w:rPr>
          <w:rFonts w:ascii="Times New Roman" w:hAnsi="Times New Roman"/>
          <w:sz w:val="24"/>
          <w:szCs w:val="24"/>
        </w:rPr>
      </w:pPr>
    </w:p>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287" w:lineRule="exact"/>
        <w:rPr>
          <w:rFonts w:ascii="Times New Roman" w:hAnsi="Times New Roman"/>
          <w:sz w:val="24"/>
          <w:szCs w:val="24"/>
        </w:rPr>
      </w:pPr>
    </w:p>
    <w:p w:rsidR="00EA749C" w:rsidRDefault="007A1480">
      <w:pPr>
        <w:widowControl w:val="0"/>
        <w:autoSpaceDE w:val="0"/>
        <w:autoSpaceDN w:val="0"/>
        <w:adjustRightInd w:val="0"/>
        <w:spacing w:after="0" w:line="240" w:lineRule="auto"/>
        <w:ind w:left="2400"/>
        <w:rPr>
          <w:rFonts w:ascii="Times New Roman" w:hAnsi="Times New Roman"/>
          <w:sz w:val="24"/>
          <w:szCs w:val="24"/>
        </w:rPr>
      </w:pPr>
      <w:r>
        <w:rPr>
          <w:rFonts w:ascii="Times New Roman" w:hAnsi="Times New Roman"/>
          <w:b/>
          <w:bCs/>
          <w:sz w:val="24"/>
          <w:szCs w:val="24"/>
        </w:rPr>
        <w:t>THE COST OF CAPITAL AND INFLATION</w:t>
      </w:r>
    </w:p>
    <w:p w:rsidR="00EA749C" w:rsidRDefault="00EA749C">
      <w:pPr>
        <w:widowControl w:val="0"/>
        <w:autoSpaceDE w:val="0"/>
        <w:autoSpaceDN w:val="0"/>
        <w:adjustRightInd w:val="0"/>
        <w:spacing w:after="0" w:line="227" w:lineRule="exact"/>
        <w:rPr>
          <w:rFonts w:ascii="Times New Roman" w:hAnsi="Times New Roman"/>
          <w:sz w:val="24"/>
          <w:szCs w:val="24"/>
        </w:rPr>
      </w:pPr>
    </w:p>
    <w:p w:rsidR="00EA749C" w:rsidRDefault="007A1480">
      <w:pPr>
        <w:widowControl w:val="0"/>
        <w:overflowPunct w:val="0"/>
        <w:autoSpaceDE w:val="0"/>
        <w:autoSpaceDN w:val="0"/>
        <w:adjustRightInd w:val="0"/>
        <w:spacing w:after="0" w:line="239" w:lineRule="auto"/>
        <w:ind w:firstLine="269"/>
        <w:jc w:val="both"/>
        <w:rPr>
          <w:rFonts w:ascii="Times New Roman" w:hAnsi="Times New Roman"/>
          <w:sz w:val="24"/>
          <w:szCs w:val="24"/>
        </w:rPr>
      </w:pPr>
      <w:r>
        <w:rPr>
          <w:rFonts w:ascii="Times" w:hAnsi="Times" w:cs="Times"/>
          <w:sz w:val="20"/>
          <w:szCs w:val="20"/>
        </w:rPr>
        <w:t>Towards the end of their article, Bailey and Jensen</w:t>
      </w:r>
      <w:r>
        <w:rPr>
          <w:rFonts w:ascii="Times" w:hAnsi="Times" w:cs="Times"/>
          <w:sz w:val="25"/>
          <w:szCs w:val="25"/>
          <w:vertAlign w:val="superscript"/>
        </w:rPr>
        <w:t>1</w:t>
      </w:r>
      <w:r>
        <w:rPr>
          <w:rFonts w:ascii="Times" w:hAnsi="Times" w:cs="Times"/>
          <w:sz w:val="20"/>
          <w:szCs w:val="20"/>
        </w:rPr>
        <w:t xml:space="preserve"> state: “It has been argued that the market rate of interest already embodies the price level effect and that the rate will be </w:t>
      </w:r>
      <w:r>
        <w:rPr>
          <w:rFonts w:ascii="Arial Narrow" w:hAnsi="Arial Narrow" w:cs="Arial Narrow"/>
          <w:i/>
          <w:iCs/>
          <w:sz w:val="20"/>
          <w:szCs w:val="20"/>
        </w:rPr>
        <w:t>unique</w:t>
      </w:r>
      <w:r>
        <w:rPr>
          <w:rFonts w:ascii="Times" w:hAnsi="Times" w:cs="Times"/>
          <w:sz w:val="20"/>
          <w:szCs w:val="20"/>
        </w:rPr>
        <w:t xml:space="preserve"> (emphasis theirs). But it is far from clear that extant techniques provide a unique measure of that rate. In any case, this paper does not require the resolution of these issues. It merely argues that the presence of general price level changes impacts on the evaluation of investment proposals.” [1, pp. 30-31].</w:t>
      </w:r>
    </w:p>
    <w:p w:rsidR="00EA749C" w:rsidRDefault="00EA749C">
      <w:pPr>
        <w:widowControl w:val="0"/>
        <w:autoSpaceDE w:val="0"/>
        <w:autoSpaceDN w:val="0"/>
        <w:adjustRightInd w:val="0"/>
        <w:spacing w:after="0" w:line="2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8" w:lineRule="auto"/>
        <w:ind w:firstLine="269"/>
        <w:jc w:val="both"/>
        <w:rPr>
          <w:rFonts w:ascii="Times New Roman" w:hAnsi="Times New Roman"/>
          <w:sz w:val="24"/>
          <w:szCs w:val="24"/>
        </w:rPr>
      </w:pPr>
      <w:r>
        <w:rPr>
          <w:rFonts w:ascii="Times" w:hAnsi="Times" w:cs="Times"/>
          <w:sz w:val="20"/>
          <w:szCs w:val="20"/>
        </w:rPr>
        <w:t xml:space="preserve">This statement in itself is unusual, since the argument that nominal rates of interest, and hence the nominal cost of capital, contain </w:t>
      </w:r>
      <w:proofErr w:type="gramStart"/>
      <w:r>
        <w:rPr>
          <w:rFonts w:ascii="Times" w:hAnsi="Times" w:cs="Times"/>
          <w:sz w:val="20"/>
          <w:szCs w:val="20"/>
        </w:rPr>
        <w:t>an inflation</w:t>
      </w:r>
      <w:proofErr w:type="gramEnd"/>
      <w:r>
        <w:rPr>
          <w:rFonts w:ascii="Times" w:hAnsi="Times" w:cs="Times"/>
          <w:sz w:val="20"/>
          <w:szCs w:val="20"/>
        </w:rPr>
        <w:t xml:space="preserve"> premium dates back to the Fisher Effect and is generally accepted. As Van Horne has shown, nominal cash flows must be treated with nominal costs of capital or else a bias is introduced into the procedure. Since the discount rate is a major determinant of the investment decision, its relationship to inflation is of more than just passing interest in determining the overall impact of inflation on capital spending.</w:t>
      </w:r>
    </w:p>
    <w:p w:rsidR="00EA749C" w:rsidRDefault="00EA749C">
      <w:pPr>
        <w:widowControl w:val="0"/>
        <w:autoSpaceDE w:val="0"/>
        <w:autoSpaceDN w:val="0"/>
        <w:adjustRightInd w:val="0"/>
        <w:spacing w:after="0" w:line="12"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8" w:lineRule="auto"/>
        <w:ind w:firstLine="269"/>
        <w:jc w:val="both"/>
        <w:rPr>
          <w:rFonts w:ascii="Times New Roman" w:hAnsi="Times New Roman"/>
          <w:sz w:val="24"/>
          <w:szCs w:val="24"/>
        </w:rPr>
      </w:pPr>
      <w:r>
        <w:rPr>
          <w:rFonts w:ascii="Times" w:hAnsi="Times" w:cs="Times"/>
          <w:sz w:val="20"/>
          <w:szCs w:val="20"/>
        </w:rPr>
        <w:t>The specific relationship between inflation and the cost of capital is still in the process of being firmly established, and in the absence of a full model to explain this relationship, this section will focus on the interconnections between changes in inflation and subsequent changes in interest rates. Specifically, we will deal with the distinction between nominal and real interest rates, the relationship between inflation and movements of interest rates and the relationship between the rate of interest and the cost of capital.</w:t>
      </w:r>
    </w:p>
    <w:p w:rsidR="00EA749C" w:rsidRDefault="00EA749C">
      <w:pPr>
        <w:widowControl w:val="0"/>
        <w:autoSpaceDE w:val="0"/>
        <w:autoSpaceDN w:val="0"/>
        <w:adjustRightInd w:val="0"/>
        <w:spacing w:after="0" w:line="12"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9" w:lineRule="auto"/>
        <w:ind w:firstLine="269"/>
        <w:jc w:val="both"/>
        <w:rPr>
          <w:rFonts w:ascii="Times New Roman" w:hAnsi="Times New Roman"/>
          <w:sz w:val="24"/>
          <w:szCs w:val="24"/>
        </w:rPr>
      </w:pPr>
      <w:r>
        <w:rPr>
          <w:rFonts w:ascii="Times" w:hAnsi="Times" w:cs="Times"/>
          <w:sz w:val="20"/>
          <w:szCs w:val="20"/>
        </w:rPr>
        <w:t xml:space="preserve">In a non-inflationary world, funds loaned at a rate of interest return at a rate equal to the stated or nominal rate of interest. If inflation is introduced into the system, the return as nominally stated will be different from the real return, as the future cash flows have a lower purchasing power. It is debatable whether or not the interest rate will rise exactly in an amount necessary to offset inflation, and arguments on each side have been summarized by Bernstein [2], but what is clear that introducing inflation places upward pressure on interest rates. The reasons for this are that (1) borrowers will increase their demand for funds during the inflation to provide for higher transaction costs and to move from financial assets to non-financial assets as a hedge against inflation, and (2) regulatory authorities will </w:t>
      </w:r>
      <w:r>
        <w:rPr>
          <w:rFonts w:ascii="Times" w:hAnsi="Times" w:cs="Times"/>
          <w:sz w:val="20"/>
          <w:szCs w:val="20"/>
        </w:rPr>
        <w:lastRenderedPageBreak/>
        <w:t>move to reduce the rate of growth of the supply of funds as an inflation fighting policy tool.</w:t>
      </w:r>
    </w:p>
    <w:p w:rsidR="00EA749C" w:rsidRDefault="00EA749C">
      <w:pPr>
        <w:widowControl w:val="0"/>
        <w:autoSpaceDE w:val="0"/>
        <w:autoSpaceDN w:val="0"/>
        <w:adjustRightInd w:val="0"/>
        <w:spacing w:after="0" w:line="11"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1" w:lineRule="auto"/>
        <w:ind w:left="20" w:right="20"/>
        <w:jc w:val="both"/>
        <w:rPr>
          <w:rFonts w:ascii="Times New Roman" w:hAnsi="Times New Roman"/>
          <w:sz w:val="24"/>
          <w:szCs w:val="24"/>
        </w:rPr>
      </w:pPr>
      <w:r>
        <w:rPr>
          <w:rFonts w:ascii="Times" w:hAnsi="Times" w:cs="Times"/>
          <w:sz w:val="20"/>
          <w:szCs w:val="20"/>
        </w:rPr>
        <w:t>The additive formulation is a reasonable first approximation, but should not be used in actual capital budgeting cases as it would introduce upward bias.</w:t>
      </w:r>
    </w:p>
    <w:p w:rsidR="00EA749C" w:rsidRDefault="00EA749C">
      <w:pPr>
        <w:widowControl w:val="0"/>
        <w:autoSpaceDE w:val="0"/>
        <w:autoSpaceDN w:val="0"/>
        <w:adjustRightInd w:val="0"/>
        <w:spacing w:after="0" w:line="18" w:lineRule="exact"/>
        <w:rPr>
          <w:rFonts w:ascii="Times New Roman" w:hAnsi="Times New Roman"/>
          <w:sz w:val="24"/>
          <w:szCs w:val="24"/>
        </w:rPr>
      </w:pPr>
    </w:p>
    <w:p w:rsidR="00EA749C" w:rsidRDefault="007A1480">
      <w:pPr>
        <w:widowControl w:val="0"/>
        <w:overflowPunct w:val="0"/>
        <w:autoSpaceDE w:val="0"/>
        <w:autoSpaceDN w:val="0"/>
        <w:adjustRightInd w:val="0"/>
        <w:spacing w:after="0" w:line="263" w:lineRule="auto"/>
        <w:ind w:left="20" w:right="20" w:firstLine="269"/>
        <w:jc w:val="both"/>
        <w:rPr>
          <w:rFonts w:ascii="Times New Roman" w:hAnsi="Times New Roman"/>
          <w:sz w:val="24"/>
          <w:szCs w:val="24"/>
        </w:rPr>
      </w:pPr>
      <w:r>
        <w:rPr>
          <w:rFonts w:ascii="Times" w:hAnsi="Times" w:cs="Times"/>
          <w:sz w:val="19"/>
          <w:szCs w:val="19"/>
        </w:rPr>
        <w:t>The relationship between the rate of interest and inflation in the real world is much more difficult to explain than the theoretical relationship described above. Experience shows that deflating any series of interest rates over time by any popular price index does not yield relatively constant real rates of interest. However, this should not be interpreted as telling us that the current rate of interest is properly adjusted for the actual rate of inflation, but only that it will contain some expected rate of inflation. Furthermore, the ability of accurately forecast the rate of inflation is very rare.</w:t>
      </w:r>
    </w:p>
    <w:p w:rsidR="00EA749C" w:rsidRDefault="007A1480">
      <w:pPr>
        <w:widowControl w:val="0"/>
        <w:autoSpaceDE w:val="0"/>
        <w:autoSpaceDN w:val="0"/>
        <w:adjustRightInd w:val="0"/>
        <w:spacing w:after="0" w:line="234" w:lineRule="auto"/>
        <w:ind w:left="280"/>
        <w:rPr>
          <w:rFonts w:ascii="Times New Roman" w:hAnsi="Times New Roman"/>
          <w:sz w:val="24"/>
          <w:szCs w:val="24"/>
        </w:rPr>
      </w:pPr>
      <w:r>
        <w:rPr>
          <w:rFonts w:ascii="Times" w:hAnsi="Times" w:cs="Times"/>
          <w:sz w:val="20"/>
          <w:szCs w:val="20"/>
        </w:rPr>
        <w:t>Table 1 shows the nominal and real rates of interest on long term corporate AAA securities.</w:t>
      </w:r>
    </w:p>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293" w:lineRule="exact"/>
        <w:rPr>
          <w:rFonts w:ascii="Times New Roman" w:hAnsi="Times New Roman"/>
          <w:sz w:val="24"/>
          <w:szCs w:val="24"/>
        </w:rPr>
      </w:pPr>
    </w:p>
    <w:p w:rsidR="00EA749C" w:rsidRDefault="007A1480">
      <w:pPr>
        <w:widowControl w:val="0"/>
        <w:autoSpaceDE w:val="0"/>
        <w:autoSpaceDN w:val="0"/>
        <w:adjustRightInd w:val="0"/>
        <w:spacing w:after="0" w:line="240" w:lineRule="auto"/>
        <w:ind w:left="4220"/>
        <w:rPr>
          <w:rFonts w:ascii="Times New Roman" w:hAnsi="Times New Roman"/>
          <w:sz w:val="24"/>
          <w:szCs w:val="24"/>
        </w:rPr>
      </w:pPr>
      <w:r>
        <w:rPr>
          <w:rFonts w:ascii="Times New Roman" w:hAnsi="Times New Roman"/>
          <w:b/>
          <w:bCs/>
          <w:sz w:val="24"/>
          <w:szCs w:val="24"/>
        </w:rPr>
        <w:t>TABLE 1</w:t>
      </w:r>
    </w:p>
    <w:p w:rsidR="00EA749C" w:rsidRDefault="00EA749C">
      <w:pPr>
        <w:widowControl w:val="0"/>
        <w:autoSpaceDE w:val="0"/>
        <w:autoSpaceDN w:val="0"/>
        <w:adjustRightInd w:val="0"/>
        <w:spacing w:after="0" w:line="10" w:lineRule="exact"/>
        <w:rPr>
          <w:rFonts w:ascii="Times New Roman" w:hAnsi="Times New Roman"/>
          <w:sz w:val="24"/>
          <w:szCs w:val="24"/>
        </w:rPr>
      </w:pPr>
    </w:p>
    <w:p w:rsidR="00EA749C" w:rsidRDefault="007A1480">
      <w:pPr>
        <w:widowControl w:val="0"/>
        <w:autoSpaceDE w:val="0"/>
        <w:autoSpaceDN w:val="0"/>
        <w:adjustRightInd w:val="0"/>
        <w:spacing w:after="0" w:line="240" w:lineRule="auto"/>
        <w:ind w:left="2620"/>
        <w:rPr>
          <w:rFonts w:ascii="Times New Roman" w:hAnsi="Times New Roman"/>
          <w:sz w:val="24"/>
          <w:szCs w:val="24"/>
        </w:rPr>
      </w:pPr>
      <w:r>
        <w:rPr>
          <w:rFonts w:ascii="Times New Roman" w:hAnsi="Times New Roman"/>
          <w:b/>
          <w:bCs/>
          <w:sz w:val="20"/>
          <w:szCs w:val="20"/>
        </w:rPr>
        <w:t xml:space="preserve">The Real Rate </w:t>
      </w:r>
      <w:proofErr w:type="gramStart"/>
      <w:r>
        <w:rPr>
          <w:rFonts w:ascii="Times New Roman" w:hAnsi="Times New Roman"/>
          <w:b/>
          <w:bCs/>
          <w:sz w:val="20"/>
          <w:szCs w:val="20"/>
        </w:rPr>
        <w:t>Of</w:t>
      </w:r>
      <w:proofErr w:type="gramEnd"/>
      <w:r>
        <w:rPr>
          <w:rFonts w:ascii="Times New Roman" w:hAnsi="Times New Roman"/>
          <w:b/>
          <w:bCs/>
          <w:sz w:val="20"/>
          <w:szCs w:val="20"/>
        </w:rPr>
        <w:t xml:space="preserve"> Interest As Deflated By The CPI</w:t>
      </w:r>
    </w:p>
    <w:p w:rsidR="00EA749C" w:rsidRDefault="00EA749C">
      <w:pPr>
        <w:widowControl w:val="0"/>
        <w:autoSpaceDE w:val="0"/>
        <w:autoSpaceDN w:val="0"/>
        <w:adjustRightInd w:val="0"/>
        <w:spacing w:after="0" w:line="240" w:lineRule="auto"/>
        <w:rPr>
          <w:rFonts w:ascii="Times New Roman" w:hAnsi="Times New Roman"/>
          <w:sz w:val="24"/>
          <w:szCs w:val="24"/>
        </w:rPr>
        <w:sectPr w:rsidR="00EA749C">
          <w:pgSz w:w="12240" w:h="15840"/>
          <w:pgMar w:top="724" w:right="1060" w:bottom="1440" w:left="1780" w:header="720" w:footer="720" w:gutter="0"/>
          <w:cols w:space="720" w:equalWidth="0">
            <w:col w:w="9400"/>
          </w:cols>
          <w:noEndnote/>
        </w:sectPr>
      </w:pPr>
    </w:p>
    <w:p w:rsidR="00EA749C" w:rsidRDefault="00EA749C">
      <w:pPr>
        <w:widowControl w:val="0"/>
        <w:autoSpaceDE w:val="0"/>
        <w:autoSpaceDN w:val="0"/>
        <w:adjustRightInd w:val="0"/>
        <w:spacing w:after="0" w:line="221" w:lineRule="exact"/>
        <w:rPr>
          <w:rFonts w:ascii="Times New Roman" w:hAnsi="Times New Roman"/>
          <w:sz w:val="24"/>
          <w:szCs w:val="24"/>
        </w:rPr>
      </w:pPr>
    </w:p>
    <w:tbl>
      <w:tblPr>
        <w:tblW w:w="0" w:type="auto"/>
        <w:tblLayout w:type="fixed"/>
        <w:tblCellMar>
          <w:left w:w="0" w:type="dxa"/>
          <w:right w:w="0" w:type="dxa"/>
        </w:tblCellMar>
        <w:tblLook w:val="0000"/>
      </w:tblPr>
      <w:tblGrid>
        <w:gridCol w:w="760"/>
        <w:gridCol w:w="1160"/>
        <w:gridCol w:w="1320"/>
        <w:gridCol w:w="1140"/>
      </w:tblGrid>
      <w:tr w:rsidR="00EA749C" w:rsidRPr="005622AA">
        <w:trPr>
          <w:trHeight w:val="40"/>
        </w:trPr>
        <w:tc>
          <w:tcPr>
            <w:tcW w:w="760" w:type="dxa"/>
            <w:tcBorders>
              <w:top w:val="single" w:sz="8" w:space="0" w:color="auto"/>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1160" w:type="dxa"/>
            <w:tcBorders>
              <w:top w:val="single" w:sz="8" w:space="0" w:color="auto"/>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1320" w:type="dxa"/>
            <w:tcBorders>
              <w:top w:val="single" w:sz="8" w:space="0" w:color="auto"/>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1140" w:type="dxa"/>
            <w:tcBorders>
              <w:top w:val="single" w:sz="8" w:space="0" w:color="auto"/>
              <w:left w:val="nil"/>
              <w:bottom w:val="single" w:sz="8" w:space="0" w:color="auto"/>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r>
      <w:tr w:rsidR="00EA749C" w:rsidRPr="005622AA">
        <w:trPr>
          <w:trHeight w:val="344"/>
        </w:trPr>
        <w:tc>
          <w:tcPr>
            <w:tcW w:w="760" w:type="dxa"/>
            <w:tcBorders>
              <w:top w:val="nil"/>
              <w:left w:val="single" w:sz="8" w:space="0" w:color="auto"/>
              <w:bottom w:val="nil"/>
              <w:right w:val="nil"/>
            </w:tcBorders>
            <w:shd w:val="clear" w:color="auto" w:fill="CCCCCC"/>
            <w:vAlign w:val="bottom"/>
          </w:tcPr>
          <w:p w:rsidR="00EA749C" w:rsidRPr="005622AA" w:rsidRDefault="007A1480">
            <w:pPr>
              <w:widowControl w:val="0"/>
              <w:autoSpaceDE w:val="0"/>
              <w:autoSpaceDN w:val="0"/>
              <w:adjustRightInd w:val="0"/>
              <w:spacing w:after="0" w:line="240" w:lineRule="auto"/>
              <w:ind w:left="180"/>
              <w:rPr>
                <w:rFonts w:ascii="Times New Roman" w:eastAsiaTheme="minorEastAsia" w:hAnsi="Times New Roman"/>
                <w:sz w:val="24"/>
                <w:szCs w:val="24"/>
              </w:rPr>
            </w:pPr>
            <w:r w:rsidRPr="005622AA">
              <w:rPr>
                <w:rFonts w:ascii="Times New Roman" w:eastAsiaTheme="minorEastAsia" w:hAnsi="Times New Roman"/>
                <w:b/>
                <w:bCs/>
                <w:sz w:val="20"/>
                <w:szCs w:val="20"/>
              </w:rPr>
              <w:t>Year</w:t>
            </w:r>
          </w:p>
        </w:tc>
        <w:tc>
          <w:tcPr>
            <w:tcW w:w="1160" w:type="dxa"/>
            <w:tcBorders>
              <w:top w:val="nil"/>
              <w:left w:val="nil"/>
              <w:bottom w:val="nil"/>
              <w:right w:val="nil"/>
            </w:tcBorders>
            <w:shd w:val="clear" w:color="auto" w:fill="CCCCCC"/>
            <w:vAlign w:val="bottom"/>
          </w:tcPr>
          <w:p w:rsidR="00EA749C" w:rsidRPr="005622AA" w:rsidRDefault="007A1480">
            <w:pPr>
              <w:widowControl w:val="0"/>
              <w:autoSpaceDE w:val="0"/>
              <w:autoSpaceDN w:val="0"/>
              <w:adjustRightInd w:val="0"/>
              <w:spacing w:after="0" w:line="240" w:lineRule="auto"/>
              <w:ind w:right="59"/>
              <w:jc w:val="right"/>
              <w:rPr>
                <w:rFonts w:ascii="Times New Roman" w:eastAsiaTheme="minorEastAsia" w:hAnsi="Times New Roman"/>
                <w:sz w:val="24"/>
                <w:szCs w:val="24"/>
              </w:rPr>
            </w:pPr>
            <w:r w:rsidRPr="005622AA">
              <w:rPr>
                <w:rFonts w:ascii="Times New Roman" w:eastAsiaTheme="minorEastAsia" w:hAnsi="Times New Roman"/>
                <w:b/>
                <w:bCs/>
                <w:sz w:val="20"/>
                <w:szCs w:val="20"/>
              </w:rPr>
              <w:t>AAA Rate</w:t>
            </w:r>
          </w:p>
        </w:tc>
        <w:tc>
          <w:tcPr>
            <w:tcW w:w="1320" w:type="dxa"/>
            <w:tcBorders>
              <w:top w:val="nil"/>
              <w:left w:val="nil"/>
              <w:bottom w:val="nil"/>
              <w:right w:val="nil"/>
            </w:tcBorders>
            <w:shd w:val="clear" w:color="auto" w:fill="CCCCCC"/>
            <w:vAlign w:val="bottom"/>
          </w:tcPr>
          <w:p w:rsidR="00EA749C" w:rsidRPr="005622AA" w:rsidRDefault="007A1480">
            <w:pPr>
              <w:widowControl w:val="0"/>
              <w:autoSpaceDE w:val="0"/>
              <w:autoSpaceDN w:val="0"/>
              <w:adjustRightInd w:val="0"/>
              <w:spacing w:after="0" w:line="240" w:lineRule="auto"/>
              <w:ind w:right="59"/>
              <w:jc w:val="right"/>
              <w:rPr>
                <w:rFonts w:ascii="Times New Roman" w:eastAsiaTheme="minorEastAsia" w:hAnsi="Times New Roman"/>
                <w:sz w:val="24"/>
                <w:szCs w:val="24"/>
              </w:rPr>
            </w:pPr>
            <w:r w:rsidRPr="005622AA">
              <w:rPr>
                <w:rFonts w:ascii="Times New Roman" w:eastAsiaTheme="minorEastAsia" w:hAnsi="Times New Roman"/>
                <w:b/>
                <w:bCs/>
                <w:sz w:val="20"/>
                <w:szCs w:val="20"/>
              </w:rPr>
              <w:t>CPI Change</w:t>
            </w:r>
          </w:p>
        </w:tc>
        <w:tc>
          <w:tcPr>
            <w:tcW w:w="1140" w:type="dxa"/>
            <w:tcBorders>
              <w:top w:val="nil"/>
              <w:left w:val="nil"/>
              <w:bottom w:val="nil"/>
              <w:right w:val="single" w:sz="8" w:space="0" w:color="auto"/>
            </w:tcBorders>
            <w:shd w:val="clear" w:color="auto" w:fill="CCCCCC"/>
            <w:vAlign w:val="bottom"/>
          </w:tcPr>
          <w:p w:rsidR="00EA749C" w:rsidRPr="005622AA" w:rsidRDefault="007A1480">
            <w:pPr>
              <w:widowControl w:val="0"/>
              <w:autoSpaceDE w:val="0"/>
              <w:autoSpaceDN w:val="0"/>
              <w:adjustRightInd w:val="0"/>
              <w:spacing w:after="0" w:line="240" w:lineRule="auto"/>
              <w:ind w:right="79"/>
              <w:jc w:val="right"/>
              <w:rPr>
                <w:rFonts w:ascii="Times New Roman" w:eastAsiaTheme="minorEastAsia" w:hAnsi="Times New Roman"/>
                <w:sz w:val="24"/>
                <w:szCs w:val="24"/>
              </w:rPr>
            </w:pPr>
            <w:r w:rsidRPr="005622AA">
              <w:rPr>
                <w:rFonts w:ascii="Times New Roman" w:eastAsiaTheme="minorEastAsia" w:hAnsi="Times New Roman"/>
                <w:b/>
                <w:bCs/>
                <w:sz w:val="20"/>
                <w:szCs w:val="20"/>
              </w:rPr>
              <w:t>Real Rate</w:t>
            </w:r>
          </w:p>
        </w:tc>
      </w:tr>
      <w:tr w:rsidR="00EA749C" w:rsidRPr="005622AA">
        <w:trPr>
          <w:trHeight w:val="119"/>
        </w:trPr>
        <w:tc>
          <w:tcPr>
            <w:tcW w:w="760" w:type="dxa"/>
            <w:tcBorders>
              <w:top w:val="nil"/>
              <w:left w:val="single" w:sz="8" w:space="0" w:color="auto"/>
              <w:bottom w:val="single" w:sz="8" w:space="0" w:color="auto"/>
              <w:right w:val="nil"/>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60" w:type="dxa"/>
            <w:tcBorders>
              <w:top w:val="nil"/>
              <w:left w:val="nil"/>
              <w:bottom w:val="single" w:sz="8" w:space="0" w:color="auto"/>
              <w:right w:val="nil"/>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320" w:type="dxa"/>
            <w:tcBorders>
              <w:top w:val="nil"/>
              <w:left w:val="nil"/>
              <w:bottom w:val="single" w:sz="8" w:space="0" w:color="auto"/>
              <w:right w:val="nil"/>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40" w:type="dxa"/>
            <w:tcBorders>
              <w:top w:val="nil"/>
              <w:left w:val="nil"/>
              <w:bottom w:val="single" w:sz="8" w:space="0" w:color="auto"/>
              <w:right w:val="single" w:sz="8" w:space="0" w:color="auto"/>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r>
      <w:tr w:rsidR="00EA749C" w:rsidRPr="005622AA">
        <w:trPr>
          <w:trHeight w:val="348"/>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1976</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8.42</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3.7</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4.72</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1977</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8.02</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6.9</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1.12</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1978</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8.73</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9.0</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-.27</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1979</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9.63</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13.3</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-3.67</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1980</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11.94</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12.5</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-.56</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1981</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14.71</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8.9</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5.81</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40" w:lineRule="auto"/>
              <w:ind w:left="200"/>
              <w:rPr>
                <w:rFonts w:ascii="Times New Roman" w:eastAsiaTheme="minorEastAsia" w:hAnsi="Times New Roman"/>
                <w:sz w:val="24"/>
                <w:szCs w:val="24"/>
              </w:rPr>
            </w:pPr>
            <w:r w:rsidRPr="005622AA">
              <w:rPr>
                <w:rFonts w:ascii="Times" w:eastAsiaTheme="minorEastAsia" w:hAnsi="Times" w:cs="Times"/>
                <w:sz w:val="20"/>
                <w:szCs w:val="20"/>
              </w:rPr>
              <w:t>1982</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40" w:lineRule="auto"/>
              <w:ind w:right="279"/>
              <w:jc w:val="right"/>
              <w:rPr>
                <w:rFonts w:ascii="Times New Roman" w:eastAsiaTheme="minorEastAsia" w:hAnsi="Times New Roman"/>
                <w:sz w:val="24"/>
                <w:szCs w:val="24"/>
              </w:rPr>
            </w:pPr>
            <w:r w:rsidRPr="005622AA">
              <w:rPr>
                <w:rFonts w:ascii="Times" w:eastAsiaTheme="minorEastAsia" w:hAnsi="Times" w:cs="Times"/>
                <w:sz w:val="20"/>
                <w:szCs w:val="20"/>
              </w:rPr>
              <w:t>13.79</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40" w:lineRule="auto"/>
              <w:ind w:right="439"/>
              <w:jc w:val="right"/>
              <w:rPr>
                <w:rFonts w:ascii="Times New Roman" w:eastAsiaTheme="minorEastAsia" w:hAnsi="Times New Roman"/>
                <w:sz w:val="24"/>
                <w:szCs w:val="24"/>
              </w:rPr>
            </w:pPr>
            <w:r w:rsidRPr="005622AA">
              <w:rPr>
                <w:rFonts w:ascii="Times" w:eastAsiaTheme="minorEastAsia" w:hAnsi="Times" w:cs="Times"/>
                <w:sz w:val="20"/>
                <w:szCs w:val="20"/>
              </w:rPr>
              <w:t>3.8</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40" w:lineRule="auto"/>
              <w:ind w:right="319"/>
              <w:jc w:val="right"/>
              <w:rPr>
                <w:rFonts w:ascii="Times New Roman" w:eastAsiaTheme="minorEastAsia" w:hAnsi="Times New Roman"/>
                <w:sz w:val="24"/>
                <w:szCs w:val="24"/>
              </w:rPr>
            </w:pPr>
            <w:r w:rsidRPr="005622AA">
              <w:rPr>
                <w:rFonts w:ascii="Times" w:eastAsiaTheme="minorEastAsia" w:hAnsi="Times" w:cs="Times"/>
                <w:sz w:val="20"/>
                <w:szCs w:val="20"/>
              </w:rPr>
              <w:t>9.99</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1983</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12.04</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3.8</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8.24</w:t>
            </w:r>
          </w:p>
        </w:tc>
      </w:tr>
      <w:tr w:rsidR="00EA749C" w:rsidRPr="005622AA">
        <w:trPr>
          <w:trHeight w:val="240"/>
        </w:trPr>
        <w:tc>
          <w:tcPr>
            <w:tcW w:w="760" w:type="dxa"/>
            <w:tcBorders>
              <w:top w:val="nil"/>
              <w:left w:val="single" w:sz="8" w:space="0" w:color="auto"/>
              <w:bottom w:val="nil"/>
              <w:right w:val="nil"/>
            </w:tcBorders>
            <w:vAlign w:val="bottom"/>
          </w:tcPr>
          <w:p w:rsidR="00EA749C" w:rsidRPr="005622AA" w:rsidRDefault="007A1480">
            <w:pPr>
              <w:widowControl w:val="0"/>
              <w:autoSpaceDE w:val="0"/>
              <w:autoSpaceDN w:val="0"/>
              <w:adjustRightInd w:val="0"/>
              <w:spacing w:after="0" w:line="229" w:lineRule="exact"/>
              <w:ind w:left="200"/>
              <w:rPr>
                <w:rFonts w:ascii="Times New Roman" w:eastAsiaTheme="minorEastAsia" w:hAnsi="Times New Roman"/>
                <w:sz w:val="24"/>
                <w:szCs w:val="24"/>
              </w:rPr>
            </w:pPr>
            <w:r w:rsidRPr="005622AA">
              <w:rPr>
                <w:rFonts w:ascii="Times" w:eastAsiaTheme="minorEastAsia" w:hAnsi="Times" w:cs="Times"/>
                <w:sz w:val="20"/>
                <w:szCs w:val="20"/>
              </w:rPr>
              <w:t>1984</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279"/>
              <w:jc w:val="right"/>
              <w:rPr>
                <w:rFonts w:ascii="Times New Roman" w:eastAsiaTheme="minorEastAsia" w:hAnsi="Times New Roman"/>
                <w:sz w:val="24"/>
                <w:szCs w:val="24"/>
              </w:rPr>
            </w:pPr>
            <w:r w:rsidRPr="005622AA">
              <w:rPr>
                <w:rFonts w:ascii="Times" w:eastAsiaTheme="minorEastAsia" w:hAnsi="Times" w:cs="Times"/>
                <w:sz w:val="20"/>
                <w:szCs w:val="20"/>
              </w:rPr>
              <w:t>12.71</w:t>
            </w:r>
          </w:p>
        </w:tc>
        <w:tc>
          <w:tcPr>
            <w:tcW w:w="132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439"/>
              <w:jc w:val="right"/>
              <w:rPr>
                <w:rFonts w:ascii="Times New Roman" w:eastAsiaTheme="minorEastAsia" w:hAnsi="Times New Roman"/>
                <w:sz w:val="24"/>
                <w:szCs w:val="24"/>
              </w:rPr>
            </w:pPr>
            <w:r w:rsidRPr="005622AA">
              <w:rPr>
                <w:rFonts w:ascii="Times" w:eastAsiaTheme="minorEastAsia" w:hAnsi="Times" w:cs="Times"/>
                <w:sz w:val="20"/>
                <w:szCs w:val="20"/>
              </w:rPr>
              <w:t>3.9</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ind w:right="319"/>
              <w:jc w:val="right"/>
              <w:rPr>
                <w:rFonts w:ascii="Times New Roman" w:eastAsiaTheme="minorEastAsia" w:hAnsi="Times New Roman"/>
                <w:sz w:val="24"/>
                <w:szCs w:val="24"/>
              </w:rPr>
            </w:pPr>
            <w:r w:rsidRPr="005622AA">
              <w:rPr>
                <w:rFonts w:ascii="Times" w:eastAsiaTheme="minorEastAsia" w:hAnsi="Times" w:cs="Times"/>
                <w:sz w:val="20"/>
                <w:szCs w:val="20"/>
              </w:rPr>
              <w:t>8.81</w:t>
            </w:r>
          </w:p>
        </w:tc>
      </w:tr>
      <w:tr w:rsidR="00EA749C" w:rsidRPr="005622AA">
        <w:trPr>
          <w:trHeight w:val="126"/>
        </w:trPr>
        <w:tc>
          <w:tcPr>
            <w:tcW w:w="760" w:type="dxa"/>
            <w:tcBorders>
              <w:top w:val="nil"/>
              <w:left w:val="single" w:sz="8" w:space="0" w:color="auto"/>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6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32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40" w:type="dxa"/>
            <w:tcBorders>
              <w:top w:val="nil"/>
              <w:left w:val="nil"/>
              <w:bottom w:val="single" w:sz="8" w:space="0" w:color="auto"/>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r>
      <w:tr w:rsidR="00EA749C" w:rsidRPr="005622AA">
        <w:trPr>
          <w:trHeight w:val="20"/>
        </w:trPr>
        <w:tc>
          <w:tcPr>
            <w:tcW w:w="76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116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132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1140" w:type="dxa"/>
            <w:tcBorders>
              <w:top w:val="nil"/>
              <w:left w:val="nil"/>
              <w:bottom w:val="single" w:sz="8" w:space="0" w:color="auto"/>
              <w:right w:val="single" w:sz="8" w:space="0" w:color="auto"/>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r>
    </w:tbl>
    <w:p w:rsidR="00EA749C" w:rsidRDefault="007A1480">
      <w:pPr>
        <w:widowControl w:val="0"/>
        <w:autoSpaceDE w:val="0"/>
        <w:autoSpaceDN w:val="0"/>
        <w:adjustRightInd w:val="0"/>
        <w:spacing w:after="0" w:line="221" w:lineRule="exact"/>
        <w:rPr>
          <w:rFonts w:ascii="Times New Roman" w:hAnsi="Times New Roman"/>
          <w:sz w:val="24"/>
          <w:szCs w:val="24"/>
        </w:rPr>
      </w:pPr>
      <w:r>
        <w:rPr>
          <w:rFonts w:ascii="Times New Roman" w:hAnsi="Times New Roman"/>
          <w:sz w:val="24"/>
          <w:szCs w:val="24"/>
        </w:rPr>
        <w:br w:type="column"/>
      </w:r>
    </w:p>
    <w:p w:rsidR="00EA749C" w:rsidRDefault="00EA749C">
      <w:pPr>
        <w:widowControl w:val="0"/>
        <w:autoSpaceDE w:val="0"/>
        <w:autoSpaceDN w:val="0"/>
        <w:adjustRightInd w:val="0"/>
        <w:spacing w:after="0" w:line="1" w:lineRule="exact"/>
        <w:rPr>
          <w:rFonts w:ascii="Times New Roman" w:hAnsi="Times New Roman"/>
          <w:sz w:val="2"/>
          <w:szCs w:val="2"/>
        </w:rPr>
      </w:pPr>
    </w:p>
    <w:tbl>
      <w:tblPr>
        <w:tblW w:w="0" w:type="auto"/>
        <w:tblInd w:w="10" w:type="dxa"/>
        <w:tblLayout w:type="fixed"/>
        <w:tblCellMar>
          <w:left w:w="0" w:type="dxa"/>
          <w:right w:w="0" w:type="dxa"/>
        </w:tblCellMar>
        <w:tblLook w:val="0000"/>
      </w:tblPr>
      <w:tblGrid>
        <w:gridCol w:w="60"/>
        <w:gridCol w:w="700"/>
        <w:gridCol w:w="1160"/>
        <w:gridCol w:w="1340"/>
        <w:gridCol w:w="1140"/>
      </w:tblGrid>
      <w:tr w:rsidR="00EA749C" w:rsidRPr="005622AA">
        <w:trPr>
          <w:trHeight w:val="40"/>
        </w:trPr>
        <w:tc>
          <w:tcPr>
            <w:tcW w:w="60" w:type="dxa"/>
            <w:tcBorders>
              <w:top w:val="single" w:sz="8" w:space="0" w:color="auto"/>
              <w:left w:val="single" w:sz="8" w:space="0" w:color="auto"/>
              <w:bottom w:val="nil"/>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700" w:type="dxa"/>
            <w:tcBorders>
              <w:top w:val="single" w:sz="8" w:space="0" w:color="auto"/>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1160" w:type="dxa"/>
            <w:tcBorders>
              <w:top w:val="single" w:sz="8" w:space="0" w:color="auto"/>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1340" w:type="dxa"/>
            <w:tcBorders>
              <w:top w:val="single" w:sz="8" w:space="0" w:color="auto"/>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c>
          <w:tcPr>
            <w:tcW w:w="1140" w:type="dxa"/>
            <w:tcBorders>
              <w:top w:val="single" w:sz="8" w:space="0" w:color="auto"/>
              <w:left w:val="nil"/>
              <w:bottom w:val="single" w:sz="8" w:space="0" w:color="auto"/>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3"/>
                <w:szCs w:val="3"/>
              </w:rPr>
            </w:pPr>
          </w:p>
        </w:tc>
      </w:tr>
      <w:tr w:rsidR="00EA749C" w:rsidRPr="005622AA">
        <w:trPr>
          <w:trHeight w:val="344"/>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4"/>
                <w:szCs w:val="24"/>
              </w:rPr>
            </w:pPr>
          </w:p>
        </w:tc>
        <w:tc>
          <w:tcPr>
            <w:tcW w:w="700" w:type="dxa"/>
            <w:tcBorders>
              <w:top w:val="nil"/>
              <w:left w:val="nil"/>
              <w:bottom w:val="nil"/>
              <w:right w:val="nil"/>
            </w:tcBorders>
            <w:shd w:val="clear" w:color="auto" w:fill="CCCCCC"/>
            <w:vAlign w:val="bottom"/>
          </w:tcPr>
          <w:p w:rsidR="00EA749C" w:rsidRPr="005622AA" w:rsidRDefault="007A1480">
            <w:pPr>
              <w:widowControl w:val="0"/>
              <w:autoSpaceDE w:val="0"/>
              <w:autoSpaceDN w:val="0"/>
              <w:adjustRightInd w:val="0"/>
              <w:spacing w:after="0" w:line="240" w:lineRule="auto"/>
              <w:ind w:left="140"/>
              <w:rPr>
                <w:rFonts w:ascii="Times New Roman" w:eastAsiaTheme="minorEastAsia" w:hAnsi="Times New Roman"/>
                <w:sz w:val="24"/>
                <w:szCs w:val="24"/>
              </w:rPr>
            </w:pPr>
            <w:r w:rsidRPr="005622AA">
              <w:rPr>
                <w:rFonts w:ascii="Times New Roman" w:eastAsiaTheme="minorEastAsia" w:hAnsi="Times New Roman"/>
                <w:b/>
                <w:bCs/>
                <w:sz w:val="20"/>
                <w:szCs w:val="20"/>
              </w:rPr>
              <w:t>Year</w:t>
            </w:r>
          </w:p>
        </w:tc>
        <w:tc>
          <w:tcPr>
            <w:tcW w:w="1160" w:type="dxa"/>
            <w:tcBorders>
              <w:top w:val="nil"/>
              <w:left w:val="nil"/>
              <w:bottom w:val="nil"/>
              <w:right w:val="nil"/>
            </w:tcBorders>
            <w:shd w:val="clear" w:color="auto" w:fill="CCCCCC"/>
            <w:vAlign w:val="bottom"/>
          </w:tcPr>
          <w:p w:rsidR="00EA749C" w:rsidRPr="005622AA" w:rsidRDefault="007A1480">
            <w:pPr>
              <w:widowControl w:val="0"/>
              <w:autoSpaceDE w:val="0"/>
              <w:autoSpaceDN w:val="0"/>
              <w:adjustRightInd w:val="0"/>
              <w:spacing w:after="0" w:line="240" w:lineRule="auto"/>
              <w:ind w:right="59"/>
              <w:jc w:val="right"/>
              <w:rPr>
                <w:rFonts w:ascii="Times New Roman" w:eastAsiaTheme="minorEastAsia" w:hAnsi="Times New Roman"/>
                <w:sz w:val="24"/>
                <w:szCs w:val="24"/>
              </w:rPr>
            </w:pPr>
            <w:r w:rsidRPr="005622AA">
              <w:rPr>
                <w:rFonts w:ascii="Times New Roman" w:eastAsiaTheme="minorEastAsia" w:hAnsi="Times New Roman"/>
                <w:b/>
                <w:bCs/>
                <w:sz w:val="20"/>
                <w:szCs w:val="20"/>
              </w:rPr>
              <w:t>AAA Rate</w:t>
            </w:r>
          </w:p>
        </w:tc>
        <w:tc>
          <w:tcPr>
            <w:tcW w:w="1340" w:type="dxa"/>
            <w:tcBorders>
              <w:top w:val="nil"/>
              <w:left w:val="nil"/>
              <w:bottom w:val="nil"/>
              <w:right w:val="nil"/>
            </w:tcBorders>
            <w:shd w:val="clear" w:color="auto" w:fill="CCCCCC"/>
            <w:vAlign w:val="bottom"/>
          </w:tcPr>
          <w:p w:rsidR="00EA749C" w:rsidRPr="005622AA" w:rsidRDefault="007A1480">
            <w:pPr>
              <w:widowControl w:val="0"/>
              <w:autoSpaceDE w:val="0"/>
              <w:autoSpaceDN w:val="0"/>
              <w:adjustRightInd w:val="0"/>
              <w:spacing w:after="0" w:line="240" w:lineRule="auto"/>
              <w:jc w:val="center"/>
              <w:rPr>
                <w:rFonts w:ascii="Times New Roman" w:eastAsiaTheme="minorEastAsia" w:hAnsi="Times New Roman"/>
                <w:sz w:val="24"/>
                <w:szCs w:val="24"/>
              </w:rPr>
            </w:pPr>
            <w:r w:rsidRPr="005622AA">
              <w:rPr>
                <w:rFonts w:ascii="Times New Roman" w:eastAsiaTheme="minorEastAsia" w:hAnsi="Times New Roman"/>
                <w:b/>
                <w:bCs/>
                <w:w w:val="97"/>
                <w:sz w:val="20"/>
                <w:szCs w:val="20"/>
              </w:rPr>
              <w:t>CPI Change</w:t>
            </w:r>
          </w:p>
        </w:tc>
        <w:tc>
          <w:tcPr>
            <w:tcW w:w="1140" w:type="dxa"/>
            <w:tcBorders>
              <w:top w:val="nil"/>
              <w:left w:val="nil"/>
              <w:bottom w:val="nil"/>
              <w:right w:val="single" w:sz="8" w:space="0" w:color="auto"/>
            </w:tcBorders>
            <w:shd w:val="clear" w:color="auto" w:fill="CCCCCC"/>
            <w:vAlign w:val="bottom"/>
          </w:tcPr>
          <w:p w:rsidR="00EA749C" w:rsidRPr="005622AA" w:rsidRDefault="007A1480">
            <w:pPr>
              <w:widowControl w:val="0"/>
              <w:autoSpaceDE w:val="0"/>
              <w:autoSpaceDN w:val="0"/>
              <w:adjustRightInd w:val="0"/>
              <w:spacing w:after="0" w:line="240" w:lineRule="auto"/>
              <w:jc w:val="center"/>
              <w:rPr>
                <w:rFonts w:ascii="Times New Roman" w:eastAsiaTheme="minorEastAsia" w:hAnsi="Times New Roman"/>
                <w:sz w:val="24"/>
                <w:szCs w:val="24"/>
              </w:rPr>
            </w:pPr>
            <w:r w:rsidRPr="005622AA">
              <w:rPr>
                <w:rFonts w:ascii="Times New Roman" w:eastAsiaTheme="minorEastAsia" w:hAnsi="Times New Roman"/>
                <w:b/>
                <w:bCs/>
                <w:w w:val="95"/>
                <w:sz w:val="20"/>
                <w:szCs w:val="20"/>
              </w:rPr>
              <w:t>Real Rate</w:t>
            </w:r>
          </w:p>
        </w:tc>
      </w:tr>
      <w:tr w:rsidR="00EA749C" w:rsidRPr="005622AA">
        <w:trPr>
          <w:trHeight w:val="119"/>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700" w:type="dxa"/>
            <w:tcBorders>
              <w:top w:val="nil"/>
              <w:left w:val="nil"/>
              <w:bottom w:val="single" w:sz="8" w:space="0" w:color="auto"/>
              <w:right w:val="nil"/>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60" w:type="dxa"/>
            <w:tcBorders>
              <w:top w:val="nil"/>
              <w:left w:val="nil"/>
              <w:bottom w:val="single" w:sz="8" w:space="0" w:color="auto"/>
              <w:right w:val="nil"/>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340" w:type="dxa"/>
            <w:tcBorders>
              <w:top w:val="nil"/>
              <w:left w:val="nil"/>
              <w:bottom w:val="single" w:sz="8" w:space="0" w:color="auto"/>
              <w:right w:val="nil"/>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40" w:type="dxa"/>
            <w:tcBorders>
              <w:top w:val="nil"/>
              <w:left w:val="nil"/>
              <w:bottom w:val="single" w:sz="8" w:space="0" w:color="auto"/>
              <w:right w:val="single" w:sz="8" w:space="0" w:color="auto"/>
            </w:tcBorders>
            <w:shd w:val="clear" w:color="auto" w:fill="CCCCCC"/>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r>
      <w:tr w:rsidR="00EA749C" w:rsidRPr="005622AA">
        <w:trPr>
          <w:trHeight w:val="348"/>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4"/>
                <w:szCs w:val="24"/>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1985</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11.37</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3.8</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7.57</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1986</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9.02</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1.1</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7.92</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1987</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9.38</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4.4</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4.98</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1988</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9.71</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4.4</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5.31</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1989</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9.26</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4.6</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4.66</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1990</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9.32</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6.1</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3.22</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40" w:lineRule="auto"/>
              <w:ind w:left="160"/>
              <w:rPr>
                <w:rFonts w:ascii="Times New Roman" w:eastAsiaTheme="minorEastAsia" w:hAnsi="Times New Roman"/>
                <w:sz w:val="24"/>
                <w:szCs w:val="24"/>
              </w:rPr>
            </w:pPr>
            <w:r w:rsidRPr="005622AA">
              <w:rPr>
                <w:rFonts w:ascii="Times" w:eastAsiaTheme="minorEastAsia" w:hAnsi="Times" w:cs="Times"/>
                <w:sz w:val="20"/>
                <w:szCs w:val="20"/>
              </w:rPr>
              <w:t>1991</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40" w:lineRule="auto"/>
              <w:ind w:right="359"/>
              <w:jc w:val="right"/>
              <w:rPr>
                <w:rFonts w:ascii="Times New Roman" w:eastAsiaTheme="minorEastAsia" w:hAnsi="Times New Roman"/>
                <w:sz w:val="24"/>
                <w:szCs w:val="24"/>
              </w:rPr>
            </w:pPr>
            <w:r w:rsidRPr="005622AA">
              <w:rPr>
                <w:rFonts w:ascii="Times" w:eastAsiaTheme="minorEastAsia" w:hAnsi="Times" w:cs="Times"/>
                <w:sz w:val="20"/>
                <w:szCs w:val="20"/>
              </w:rPr>
              <w:t>8.77</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40" w:lineRule="auto"/>
              <w:jc w:val="center"/>
              <w:rPr>
                <w:rFonts w:ascii="Times New Roman" w:eastAsiaTheme="minorEastAsia" w:hAnsi="Times New Roman"/>
                <w:sz w:val="24"/>
                <w:szCs w:val="24"/>
              </w:rPr>
            </w:pPr>
            <w:r w:rsidRPr="005622AA">
              <w:rPr>
                <w:rFonts w:ascii="Times" w:eastAsiaTheme="minorEastAsia" w:hAnsi="Times" w:cs="Times"/>
                <w:w w:val="95"/>
                <w:sz w:val="20"/>
                <w:szCs w:val="20"/>
              </w:rPr>
              <w:t>3.1</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40" w:lineRule="auto"/>
              <w:jc w:val="center"/>
              <w:rPr>
                <w:rFonts w:ascii="Times New Roman" w:eastAsiaTheme="minorEastAsia" w:hAnsi="Times New Roman"/>
                <w:sz w:val="24"/>
                <w:szCs w:val="24"/>
              </w:rPr>
            </w:pPr>
            <w:r w:rsidRPr="005622AA">
              <w:rPr>
                <w:rFonts w:ascii="Times" w:eastAsiaTheme="minorEastAsia" w:hAnsi="Times" w:cs="Times"/>
                <w:w w:val="97"/>
                <w:sz w:val="20"/>
                <w:szCs w:val="20"/>
              </w:rPr>
              <w:t>5.67</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1992</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8.14</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2.9</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5.24</w:t>
            </w:r>
          </w:p>
        </w:tc>
      </w:tr>
      <w:tr w:rsidR="00EA749C" w:rsidRPr="005622AA">
        <w:trPr>
          <w:trHeight w:val="240"/>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0"/>
                <w:szCs w:val="20"/>
              </w:rPr>
            </w:pPr>
          </w:p>
        </w:tc>
        <w:tc>
          <w:tcPr>
            <w:tcW w:w="70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left="160"/>
              <w:rPr>
                <w:rFonts w:ascii="Times New Roman" w:eastAsiaTheme="minorEastAsia" w:hAnsi="Times New Roman"/>
                <w:sz w:val="24"/>
                <w:szCs w:val="24"/>
              </w:rPr>
            </w:pPr>
            <w:r w:rsidRPr="005622AA">
              <w:rPr>
                <w:rFonts w:ascii="Times" w:eastAsiaTheme="minorEastAsia" w:hAnsi="Times" w:cs="Times"/>
                <w:sz w:val="20"/>
                <w:szCs w:val="20"/>
              </w:rPr>
              <w:t>1993</w:t>
            </w:r>
          </w:p>
        </w:tc>
        <w:tc>
          <w:tcPr>
            <w:tcW w:w="11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ind w:right="359"/>
              <w:jc w:val="right"/>
              <w:rPr>
                <w:rFonts w:ascii="Times New Roman" w:eastAsiaTheme="minorEastAsia" w:hAnsi="Times New Roman"/>
                <w:sz w:val="24"/>
                <w:szCs w:val="24"/>
              </w:rPr>
            </w:pPr>
            <w:r w:rsidRPr="005622AA">
              <w:rPr>
                <w:rFonts w:ascii="Times" w:eastAsiaTheme="minorEastAsia" w:hAnsi="Times" w:cs="Times"/>
                <w:sz w:val="20"/>
                <w:szCs w:val="20"/>
              </w:rPr>
              <w:t>7.22</w:t>
            </w:r>
          </w:p>
        </w:tc>
        <w:tc>
          <w:tcPr>
            <w:tcW w:w="13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5"/>
                <w:sz w:val="20"/>
                <w:szCs w:val="20"/>
              </w:rPr>
              <w:t>2.7</w:t>
            </w:r>
          </w:p>
        </w:tc>
        <w:tc>
          <w:tcPr>
            <w:tcW w:w="1140" w:type="dxa"/>
            <w:tcBorders>
              <w:top w:val="nil"/>
              <w:left w:val="nil"/>
              <w:bottom w:val="nil"/>
              <w:right w:val="single" w:sz="8" w:space="0" w:color="auto"/>
            </w:tcBorders>
            <w:vAlign w:val="bottom"/>
          </w:tcPr>
          <w:p w:rsidR="00EA749C" w:rsidRPr="005622AA" w:rsidRDefault="007A1480">
            <w:pPr>
              <w:widowControl w:val="0"/>
              <w:autoSpaceDE w:val="0"/>
              <w:autoSpaceDN w:val="0"/>
              <w:adjustRightInd w:val="0"/>
              <w:spacing w:after="0" w:line="229" w:lineRule="exact"/>
              <w:jc w:val="center"/>
              <w:rPr>
                <w:rFonts w:ascii="Times New Roman" w:eastAsiaTheme="minorEastAsia" w:hAnsi="Times New Roman"/>
                <w:sz w:val="24"/>
                <w:szCs w:val="24"/>
              </w:rPr>
            </w:pPr>
            <w:r w:rsidRPr="005622AA">
              <w:rPr>
                <w:rFonts w:ascii="Times" w:eastAsiaTheme="minorEastAsia" w:hAnsi="Times" w:cs="Times"/>
                <w:w w:val="97"/>
                <w:sz w:val="20"/>
                <w:szCs w:val="20"/>
              </w:rPr>
              <w:t>4.52</w:t>
            </w:r>
          </w:p>
        </w:tc>
      </w:tr>
      <w:tr w:rsidR="00EA749C" w:rsidRPr="005622AA">
        <w:trPr>
          <w:trHeight w:val="126"/>
        </w:trPr>
        <w:tc>
          <w:tcPr>
            <w:tcW w:w="60" w:type="dxa"/>
            <w:tcBorders>
              <w:top w:val="nil"/>
              <w:left w:val="single" w:sz="8" w:space="0" w:color="auto"/>
              <w:bottom w:val="nil"/>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70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6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34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c>
          <w:tcPr>
            <w:tcW w:w="1140" w:type="dxa"/>
            <w:tcBorders>
              <w:top w:val="nil"/>
              <w:left w:val="nil"/>
              <w:bottom w:val="single" w:sz="8" w:space="0" w:color="auto"/>
              <w:right w:val="single" w:sz="8" w:space="0" w:color="auto"/>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10"/>
                <w:szCs w:val="10"/>
              </w:rPr>
            </w:pPr>
          </w:p>
        </w:tc>
      </w:tr>
      <w:tr w:rsidR="00EA749C" w:rsidRPr="005622AA">
        <w:trPr>
          <w:trHeight w:val="20"/>
        </w:trPr>
        <w:tc>
          <w:tcPr>
            <w:tcW w:w="60" w:type="dxa"/>
            <w:tcBorders>
              <w:top w:val="nil"/>
              <w:left w:val="single" w:sz="8" w:space="0" w:color="auto"/>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70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116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134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c>
          <w:tcPr>
            <w:tcW w:w="1140" w:type="dxa"/>
            <w:tcBorders>
              <w:top w:val="nil"/>
              <w:left w:val="nil"/>
              <w:bottom w:val="single" w:sz="8" w:space="0" w:color="auto"/>
              <w:right w:val="single" w:sz="8" w:space="0" w:color="auto"/>
            </w:tcBorders>
            <w:vAlign w:val="bottom"/>
          </w:tcPr>
          <w:p w:rsidR="00EA749C" w:rsidRPr="005622AA" w:rsidRDefault="00EA749C">
            <w:pPr>
              <w:widowControl w:val="0"/>
              <w:autoSpaceDE w:val="0"/>
              <w:autoSpaceDN w:val="0"/>
              <w:adjustRightInd w:val="0"/>
              <w:spacing w:after="0" w:line="20" w:lineRule="exact"/>
              <w:rPr>
                <w:rFonts w:ascii="Times New Roman" w:eastAsiaTheme="minorEastAsia" w:hAnsi="Times New Roman"/>
                <w:sz w:val="2"/>
                <w:szCs w:val="2"/>
              </w:rPr>
            </w:pPr>
          </w:p>
        </w:tc>
      </w:tr>
    </w:tbl>
    <w:p w:rsidR="00EA749C" w:rsidRDefault="00EA749C">
      <w:pPr>
        <w:widowControl w:val="0"/>
        <w:autoSpaceDE w:val="0"/>
        <w:autoSpaceDN w:val="0"/>
        <w:adjustRightInd w:val="0"/>
        <w:spacing w:after="0" w:line="240" w:lineRule="auto"/>
        <w:rPr>
          <w:rFonts w:ascii="Times New Roman" w:hAnsi="Times New Roman"/>
          <w:sz w:val="24"/>
          <w:szCs w:val="24"/>
        </w:rPr>
        <w:sectPr w:rsidR="00EA749C">
          <w:type w:val="continuous"/>
          <w:pgSz w:w="12240" w:h="15840"/>
          <w:pgMar w:top="724" w:right="1320" w:bottom="1440" w:left="2040" w:header="720" w:footer="720" w:gutter="0"/>
          <w:cols w:num="2" w:space="100" w:equalWidth="0">
            <w:col w:w="4380" w:space="100"/>
            <w:col w:w="4400"/>
          </w:cols>
          <w:noEndnote/>
        </w:sectPr>
      </w:pPr>
    </w:p>
    <w:p w:rsidR="00EA749C" w:rsidRDefault="00EA749C">
      <w:pPr>
        <w:widowControl w:val="0"/>
        <w:autoSpaceDE w:val="0"/>
        <w:autoSpaceDN w:val="0"/>
        <w:adjustRightInd w:val="0"/>
        <w:spacing w:after="0" w:line="10" w:lineRule="exact"/>
        <w:rPr>
          <w:rFonts w:ascii="Times New Roman" w:hAnsi="Times New Roman"/>
          <w:sz w:val="24"/>
          <w:szCs w:val="24"/>
        </w:rPr>
      </w:pPr>
    </w:p>
    <w:p w:rsidR="00EA749C" w:rsidRDefault="007A1480">
      <w:pPr>
        <w:widowControl w:val="0"/>
        <w:autoSpaceDE w:val="0"/>
        <w:autoSpaceDN w:val="0"/>
        <w:adjustRightInd w:val="0"/>
        <w:spacing w:after="0" w:line="240" w:lineRule="auto"/>
        <w:rPr>
          <w:rFonts w:ascii="Times New Roman" w:hAnsi="Times New Roman"/>
          <w:sz w:val="24"/>
          <w:szCs w:val="24"/>
        </w:rPr>
      </w:pPr>
      <w:r>
        <w:rPr>
          <w:rFonts w:ascii="Times" w:hAnsi="Times" w:cs="Times"/>
          <w:sz w:val="17"/>
          <w:szCs w:val="17"/>
        </w:rPr>
        <w:t>Source: “Economic Indicators” Joint Economic Committee, July, 1982, pp. 13, 24; May 1990 pp. 24, 30; March 1994 pp. 26, 30.</w:t>
      </w:r>
    </w:p>
    <w:p w:rsidR="00EA749C" w:rsidRDefault="00EA749C">
      <w:pPr>
        <w:widowControl w:val="0"/>
        <w:autoSpaceDE w:val="0"/>
        <w:autoSpaceDN w:val="0"/>
        <w:adjustRightInd w:val="0"/>
        <w:spacing w:after="0" w:line="240" w:lineRule="auto"/>
        <w:rPr>
          <w:rFonts w:ascii="Times New Roman" w:hAnsi="Times New Roman"/>
          <w:sz w:val="24"/>
          <w:szCs w:val="24"/>
        </w:rPr>
        <w:sectPr w:rsidR="00EA749C">
          <w:type w:val="continuous"/>
          <w:pgSz w:w="12240" w:h="15840"/>
          <w:pgMar w:top="724" w:right="1360" w:bottom="1440" w:left="2060" w:header="720" w:footer="720" w:gutter="0"/>
          <w:cols w:space="100" w:equalWidth="0">
            <w:col w:w="8820" w:space="100"/>
          </w:cols>
          <w:noEndnote/>
        </w:sectPr>
      </w:pPr>
    </w:p>
    <w:p w:rsidR="00EA749C" w:rsidRDefault="007A1480">
      <w:pPr>
        <w:widowControl w:val="0"/>
        <w:tabs>
          <w:tab w:val="left" w:pos="5260"/>
        </w:tabs>
        <w:autoSpaceDE w:val="0"/>
        <w:autoSpaceDN w:val="0"/>
        <w:adjustRightInd w:val="0"/>
        <w:spacing w:after="0" w:line="240" w:lineRule="auto"/>
        <w:rPr>
          <w:rFonts w:ascii="Times New Roman" w:hAnsi="Times New Roman"/>
          <w:sz w:val="24"/>
          <w:szCs w:val="24"/>
        </w:rPr>
      </w:pPr>
      <w:bookmarkStart w:id="0" w:name="page7"/>
      <w:bookmarkEnd w:id="0"/>
      <w:r>
        <w:rPr>
          <w:rFonts w:ascii="Times" w:hAnsi="Times" w:cs="Times"/>
          <w:sz w:val="20"/>
          <w:szCs w:val="20"/>
        </w:rPr>
        <w:lastRenderedPageBreak/>
        <w:t>82</w:t>
      </w:r>
      <w:r>
        <w:rPr>
          <w:rFonts w:ascii="Times New Roman" w:hAnsi="Times New Roman"/>
          <w:sz w:val="24"/>
          <w:szCs w:val="24"/>
        </w:rPr>
        <w:tab/>
      </w:r>
      <w:r>
        <w:rPr>
          <w:rFonts w:ascii="Times New Roman" w:hAnsi="Times New Roman"/>
          <w:i/>
          <w:iCs/>
        </w:rPr>
        <w:t xml:space="preserve">Journal </w:t>
      </w:r>
      <w:proofErr w:type="gramStart"/>
      <w:r>
        <w:rPr>
          <w:rFonts w:ascii="Times New Roman" w:hAnsi="Times New Roman"/>
          <w:i/>
          <w:iCs/>
        </w:rPr>
        <w:t>Of</w:t>
      </w:r>
      <w:proofErr w:type="gramEnd"/>
      <w:r>
        <w:rPr>
          <w:rFonts w:ascii="Times New Roman" w:hAnsi="Times New Roman"/>
          <w:i/>
          <w:iCs/>
        </w:rPr>
        <w:t xml:space="preserve"> Financial And Strategic Decisions</w:t>
      </w:r>
    </w:p>
    <w:p w:rsidR="00EA749C" w:rsidRDefault="00146481">
      <w:pPr>
        <w:widowControl w:val="0"/>
        <w:autoSpaceDE w:val="0"/>
        <w:autoSpaceDN w:val="0"/>
        <w:adjustRightInd w:val="0"/>
        <w:spacing w:after="0" w:line="200" w:lineRule="exact"/>
        <w:rPr>
          <w:rFonts w:ascii="Times New Roman" w:hAnsi="Times New Roman"/>
          <w:sz w:val="24"/>
          <w:szCs w:val="24"/>
        </w:rPr>
      </w:pPr>
      <w:r w:rsidRPr="00146481">
        <w:rPr>
          <w:rFonts w:asciiTheme="minorHAnsi" w:hAnsiTheme="minorHAnsi" w:cstheme="minorBidi"/>
          <w:noProof/>
        </w:rPr>
        <w:pict>
          <v:line id="_x0000_s1028" style="position:absolute;z-index:-2" from="-1.4pt,1.5pt" to="469.4pt,1.5pt" o:allowincell="f" strokeweight=".72pt"/>
        </w:pict>
      </w:r>
    </w:p>
    <w:p w:rsidR="00EA749C" w:rsidRDefault="00EA749C">
      <w:pPr>
        <w:widowControl w:val="0"/>
        <w:autoSpaceDE w:val="0"/>
        <w:autoSpaceDN w:val="0"/>
        <w:adjustRightInd w:val="0"/>
        <w:spacing w:after="0" w:line="272"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8" w:lineRule="auto"/>
        <w:rPr>
          <w:rFonts w:ascii="Times New Roman" w:hAnsi="Times New Roman"/>
          <w:sz w:val="24"/>
          <w:szCs w:val="24"/>
        </w:rPr>
      </w:pPr>
      <w:r>
        <w:rPr>
          <w:rFonts w:ascii="Times" w:hAnsi="Times" w:cs="Times"/>
          <w:sz w:val="20"/>
          <w:szCs w:val="20"/>
        </w:rPr>
        <w:t>As can be seen from Table 1, one cannot expect to compute the real rates of interest on an ex post basis by deflating the nominal rate of interest by a price index. However, this does not mean that one cannot use the current rate of interest as an ex ante measure of the real rate plus expected rate of inflation. The ex post analysis will fail because current inflation rates are not necessarily the expected future rate and because monetary policy may well distort interest rates for a short period of time.</w:t>
      </w:r>
    </w:p>
    <w:p w:rsidR="00EA749C" w:rsidRDefault="00EA749C">
      <w:pPr>
        <w:widowControl w:val="0"/>
        <w:autoSpaceDE w:val="0"/>
        <w:autoSpaceDN w:val="0"/>
        <w:adjustRightInd w:val="0"/>
        <w:spacing w:after="0" w:line="12" w:lineRule="exact"/>
        <w:rPr>
          <w:rFonts w:ascii="Times New Roman" w:hAnsi="Times New Roman"/>
          <w:sz w:val="24"/>
          <w:szCs w:val="24"/>
        </w:rPr>
      </w:pPr>
    </w:p>
    <w:p w:rsidR="00EA749C" w:rsidRDefault="007A1480">
      <w:pPr>
        <w:widowControl w:val="0"/>
        <w:overflowPunct w:val="0"/>
        <w:autoSpaceDE w:val="0"/>
        <w:autoSpaceDN w:val="0"/>
        <w:adjustRightInd w:val="0"/>
        <w:spacing w:after="0" w:line="263" w:lineRule="auto"/>
        <w:ind w:firstLine="269"/>
        <w:jc w:val="both"/>
        <w:rPr>
          <w:rFonts w:ascii="Times New Roman" w:hAnsi="Times New Roman"/>
          <w:sz w:val="24"/>
          <w:szCs w:val="24"/>
        </w:rPr>
      </w:pPr>
      <w:r>
        <w:rPr>
          <w:rFonts w:ascii="Times" w:hAnsi="Times" w:cs="Times"/>
          <w:sz w:val="19"/>
          <w:szCs w:val="19"/>
        </w:rPr>
        <w:t xml:space="preserve">Generally accepted economic theory supports the conclusion that the rate of interest should move in the same direction as the expected rate of inflation. A pure quantity theory of money approach would argue for almost exact movement. Under the </w:t>
      </w:r>
      <w:proofErr w:type="spellStart"/>
      <w:r>
        <w:rPr>
          <w:rFonts w:ascii="Times" w:hAnsi="Times" w:cs="Times"/>
          <w:sz w:val="19"/>
          <w:szCs w:val="19"/>
        </w:rPr>
        <w:t>loanable</w:t>
      </w:r>
      <w:proofErr w:type="spellEnd"/>
      <w:r>
        <w:rPr>
          <w:rFonts w:ascii="Times" w:hAnsi="Times" w:cs="Times"/>
          <w:sz w:val="19"/>
          <w:szCs w:val="19"/>
        </w:rPr>
        <w:t xml:space="preserve"> funds theory, the demand for money should increase because of (1) increased transactions demand and</w:t>
      </w:r>
    </w:p>
    <w:p w:rsidR="00EA749C" w:rsidRDefault="00EA749C">
      <w:pPr>
        <w:widowControl w:val="0"/>
        <w:autoSpaceDE w:val="0"/>
        <w:autoSpaceDN w:val="0"/>
        <w:adjustRightInd w:val="0"/>
        <w:spacing w:after="0" w:line="2"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1" w:lineRule="auto"/>
        <w:jc w:val="both"/>
        <w:rPr>
          <w:rFonts w:ascii="Times New Roman" w:hAnsi="Times New Roman"/>
          <w:sz w:val="24"/>
          <w:szCs w:val="24"/>
        </w:rPr>
      </w:pPr>
      <w:r>
        <w:rPr>
          <w:rFonts w:ascii="Times" w:hAnsi="Times" w:cs="Times"/>
          <w:sz w:val="20"/>
          <w:szCs w:val="20"/>
        </w:rPr>
        <w:t xml:space="preserve">(2) </w:t>
      </w:r>
      <w:proofErr w:type="gramStart"/>
      <w:r>
        <w:rPr>
          <w:rFonts w:ascii="Times" w:hAnsi="Times" w:cs="Times"/>
          <w:sz w:val="20"/>
          <w:szCs w:val="20"/>
        </w:rPr>
        <w:t>increased</w:t>
      </w:r>
      <w:proofErr w:type="gramEnd"/>
      <w:r>
        <w:rPr>
          <w:rFonts w:ascii="Times" w:hAnsi="Times" w:cs="Times"/>
          <w:sz w:val="20"/>
          <w:szCs w:val="20"/>
        </w:rPr>
        <w:t xml:space="preserve"> precautionary demand while the supply of </w:t>
      </w:r>
      <w:proofErr w:type="spellStart"/>
      <w:r>
        <w:rPr>
          <w:rFonts w:ascii="Times" w:hAnsi="Times" w:cs="Times"/>
          <w:sz w:val="20"/>
          <w:szCs w:val="20"/>
        </w:rPr>
        <w:t>loanable</w:t>
      </w:r>
      <w:proofErr w:type="spellEnd"/>
      <w:r>
        <w:rPr>
          <w:rFonts w:ascii="Times" w:hAnsi="Times" w:cs="Times"/>
          <w:sz w:val="20"/>
          <w:szCs w:val="20"/>
        </w:rPr>
        <w:t xml:space="preserve"> funds would decrease as surplus spending units reduced their excess balances. Both these actions would force up the cost of money.</w:t>
      </w:r>
    </w:p>
    <w:p w:rsidR="00EA749C" w:rsidRDefault="00EA749C">
      <w:pPr>
        <w:widowControl w:val="0"/>
        <w:autoSpaceDE w:val="0"/>
        <w:autoSpaceDN w:val="0"/>
        <w:adjustRightInd w:val="0"/>
        <w:spacing w:after="0" w:line="18" w:lineRule="exact"/>
        <w:rPr>
          <w:rFonts w:ascii="Times New Roman" w:hAnsi="Times New Roman"/>
          <w:sz w:val="24"/>
          <w:szCs w:val="24"/>
        </w:rPr>
      </w:pPr>
    </w:p>
    <w:p w:rsidR="00EA749C" w:rsidRDefault="007A1480">
      <w:pPr>
        <w:widowControl w:val="0"/>
        <w:overflowPunct w:val="0"/>
        <w:autoSpaceDE w:val="0"/>
        <w:autoSpaceDN w:val="0"/>
        <w:adjustRightInd w:val="0"/>
        <w:spacing w:after="0" w:line="263" w:lineRule="auto"/>
        <w:ind w:firstLine="269"/>
        <w:jc w:val="both"/>
        <w:rPr>
          <w:rFonts w:ascii="Times New Roman" w:hAnsi="Times New Roman"/>
          <w:sz w:val="24"/>
          <w:szCs w:val="24"/>
        </w:rPr>
      </w:pPr>
      <w:r>
        <w:rPr>
          <w:rFonts w:ascii="Times" w:hAnsi="Times" w:cs="Times"/>
          <w:sz w:val="19"/>
          <w:szCs w:val="19"/>
        </w:rPr>
        <w:t>Under the liquidity preference theory, the demand for funds would increase for the above reason, and for the reason that investors would expect a fall in bond prices as a result of the inflation and would thus tend to want to hold money balances. Theory would then predict rising interest rates as the expectation of higher inflation occurred. On any type of expectations theory approach, the rate of interest should increase with an increase in the expected rate of inflation.</w:t>
      </w:r>
    </w:p>
    <w:p w:rsidR="00EA749C" w:rsidRDefault="00EA749C">
      <w:pPr>
        <w:widowControl w:val="0"/>
        <w:autoSpaceDE w:val="0"/>
        <w:autoSpaceDN w:val="0"/>
        <w:adjustRightInd w:val="0"/>
        <w:spacing w:after="0" w:line="2" w:lineRule="exact"/>
        <w:rPr>
          <w:rFonts w:ascii="Times New Roman" w:hAnsi="Times New Roman"/>
          <w:sz w:val="24"/>
          <w:szCs w:val="24"/>
        </w:rPr>
      </w:pPr>
    </w:p>
    <w:p w:rsidR="00EA749C" w:rsidRDefault="007A1480">
      <w:pPr>
        <w:widowControl w:val="0"/>
        <w:overflowPunct w:val="0"/>
        <w:autoSpaceDE w:val="0"/>
        <w:autoSpaceDN w:val="0"/>
        <w:adjustRightInd w:val="0"/>
        <w:spacing w:after="0" w:line="234" w:lineRule="auto"/>
        <w:ind w:firstLine="269"/>
        <w:jc w:val="both"/>
        <w:rPr>
          <w:rFonts w:ascii="Times New Roman" w:hAnsi="Times New Roman"/>
          <w:sz w:val="24"/>
          <w:szCs w:val="24"/>
        </w:rPr>
      </w:pPr>
      <w:r>
        <w:rPr>
          <w:rFonts w:ascii="Times" w:hAnsi="Times" w:cs="Times"/>
          <w:sz w:val="20"/>
          <w:szCs w:val="20"/>
        </w:rPr>
        <w:t>The empirical evidence with respect to whether or not interest rates would perfectly reflect expected inflation is strong but also controversial. Fama</w:t>
      </w:r>
      <w:r>
        <w:rPr>
          <w:rFonts w:ascii="Times" w:hAnsi="Times" w:cs="Times"/>
          <w:sz w:val="25"/>
          <w:szCs w:val="25"/>
          <w:vertAlign w:val="superscript"/>
        </w:rPr>
        <w:t>6</w:t>
      </w:r>
      <w:r>
        <w:rPr>
          <w:rFonts w:ascii="Times" w:hAnsi="Times" w:cs="Times"/>
          <w:sz w:val="20"/>
          <w:szCs w:val="20"/>
        </w:rPr>
        <w:t xml:space="preserve"> demonstrates that short term rates accurately reflect the expectations of future rates of inflation [7], but his methodology and conclusions have been disputed by several rebuttals, [5, 8, 13]. </w:t>
      </w:r>
      <w:proofErr w:type="spellStart"/>
      <w:r>
        <w:rPr>
          <w:rFonts w:ascii="Times" w:hAnsi="Times" w:cs="Times"/>
          <w:sz w:val="20"/>
          <w:szCs w:val="20"/>
        </w:rPr>
        <w:t>Cagan</w:t>
      </w:r>
      <w:proofErr w:type="spellEnd"/>
      <w:r>
        <w:rPr>
          <w:rFonts w:ascii="Times" w:hAnsi="Times" w:cs="Times"/>
          <w:sz w:val="20"/>
          <w:szCs w:val="20"/>
        </w:rPr>
        <w:t xml:space="preserve"> and </w:t>
      </w:r>
      <w:proofErr w:type="spellStart"/>
      <w:r>
        <w:rPr>
          <w:rFonts w:ascii="Times" w:hAnsi="Times" w:cs="Times"/>
          <w:sz w:val="20"/>
          <w:szCs w:val="20"/>
        </w:rPr>
        <w:t>Goldolfi</w:t>
      </w:r>
      <w:proofErr w:type="spellEnd"/>
      <w:r>
        <w:rPr>
          <w:rFonts w:ascii="Times" w:hAnsi="Times" w:cs="Times"/>
          <w:sz w:val="20"/>
          <w:szCs w:val="20"/>
        </w:rPr>
        <w:t xml:space="preserve"> have achieved similar results for long term rates [4], although they argue the results might not be applicable to short term rates.</w:t>
      </w:r>
    </w:p>
    <w:p w:rsidR="00EA749C" w:rsidRDefault="00EA749C">
      <w:pPr>
        <w:widowControl w:val="0"/>
        <w:autoSpaceDE w:val="0"/>
        <w:autoSpaceDN w:val="0"/>
        <w:adjustRightInd w:val="0"/>
        <w:spacing w:after="0" w:line="2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7" w:lineRule="auto"/>
        <w:ind w:firstLine="269"/>
        <w:jc w:val="both"/>
        <w:rPr>
          <w:rFonts w:ascii="Times New Roman" w:hAnsi="Times New Roman"/>
          <w:sz w:val="24"/>
          <w:szCs w:val="24"/>
        </w:rPr>
      </w:pPr>
      <w:r>
        <w:rPr>
          <w:rFonts w:ascii="Times" w:hAnsi="Times" w:cs="Times"/>
          <w:sz w:val="20"/>
          <w:szCs w:val="20"/>
        </w:rPr>
        <w:t>Finally, the question arises as to the movement of the cost of capital when inflation occurs. We have shown that it is reasonable to expect that the rate of interest will increase when there are expectations of higher inflation, but there appears to be little evidence on the measurement of the cost of capital under inflationary expectations. This is understandable, given the difficulty in just measuring the cost of capital in a static sense.</w:t>
      </w:r>
    </w:p>
    <w:p w:rsidR="00EA749C" w:rsidRDefault="00EA749C">
      <w:pPr>
        <w:widowControl w:val="0"/>
        <w:autoSpaceDE w:val="0"/>
        <w:autoSpaceDN w:val="0"/>
        <w:adjustRightInd w:val="0"/>
        <w:spacing w:after="0" w:line="13" w:lineRule="exact"/>
        <w:rPr>
          <w:rFonts w:ascii="Times New Roman" w:hAnsi="Times New Roman"/>
          <w:sz w:val="24"/>
          <w:szCs w:val="24"/>
        </w:rPr>
      </w:pPr>
    </w:p>
    <w:p w:rsidR="00EA749C" w:rsidRDefault="00EA749C">
      <w:pPr>
        <w:widowControl w:val="0"/>
        <w:autoSpaceDE w:val="0"/>
        <w:autoSpaceDN w:val="0"/>
        <w:adjustRightInd w:val="0"/>
        <w:spacing w:after="0" w:line="272" w:lineRule="exact"/>
        <w:rPr>
          <w:rFonts w:ascii="Times New Roman" w:hAnsi="Times New Roman"/>
          <w:sz w:val="24"/>
          <w:szCs w:val="24"/>
        </w:rPr>
      </w:pPr>
    </w:p>
    <w:p w:rsidR="00EA749C" w:rsidRDefault="007A1480">
      <w:pPr>
        <w:widowControl w:val="0"/>
        <w:autoSpaceDE w:val="0"/>
        <w:autoSpaceDN w:val="0"/>
        <w:adjustRightInd w:val="0"/>
        <w:spacing w:after="0" w:line="240" w:lineRule="auto"/>
        <w:ind w:left="1180"/>
        <w:rPr>
          <w:rFonts w:ascii="Times New Roman" w:hAnsi="Times New Roman"/>
          <w:sz w:val="24"/>
          <w:szCs w:val="24"/>
        </w:rPr>
      </w:pPr>
      <w:r>
        <w:rPr>
          <w:rFonts w:ascii="Times New Roman" w:hAnsi="Times New Roman"/>
          <w:b/>
          <w:bCs/>
          <w:sz w:val="24"/>
          <w:szCs w:val="24"/>
        </w:rPr>
        <w:t>INFLATION AND PRODUCT PRICING IN CAPITAL BUDGETING</w:t>
      </w:r>
    </w:p>
    <w:p w:rsidR="00EA749C" w:rsidRDefault="00EA749C">
      <w:pPr>
        <w:widowControl w:val="0"/>
        <w:autoSpaceDE w:val="0"/>
        <w:autoSpaceDN w:val="0"/>
        <w:adjustRightInd w:val="0"/>
        <w:spacing w:after="0" w:line="253" w:lineRule="exact"/>
        <w:rPr>
          <w:rFonts w:ascii="Times New Roman" w:hAnsi="Times New Roman"/>
          <w:sz w:val="24"/>
          <w:szCs w:val="24"/>
        </w:rPr>
      </w:pPr>
    </w:p>
    <w:p w:rsidR="00EA749C" w:rsidRDefault="007A1480" w:rsidP="005C05E2">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IMPLICATION FOR CORPORATE PRICING AND INVESTMENT BEHAVIOR</w:t>
      </w:r>
    </w:p>
    <w:p w:rsidR="00EA749C" w:rsidRDefault="00EA749C">
      <w:pPr>
        <w:widowControl w:val="0"/>
        <w:autoSpaceDE w:val="0"/>
        <w:autoSpaceDN w:val="0"/>
        <w:adjustRightInd w:val="0"/>
        <w:spacing w:after="0" w:line="253" w:lineRule="exact"/>
        <w:rPr>
          <w:rFonts w:ascii="Times New Roman" w:hAnsi="Times New Roman"/>
          <w:sz w:val="24"/>
          <w:szCs w:val="24"/>
        </w:rPr>
      </w:pPr>
    </w:p>
    <w:p w:rsidR="00EA749C" w:rsidRDefault="007A1480" w:rsidP="005C05E2">
      <w:pPr>
        <w:widowControl w:val="0"/>
        <w:overflowPunct w:val="0"/>
        <w:autoSpaceDE w:val="0"/>
        <w:autoSpaceDN w:val="0"/>
        <w:adjustRightInd w:val="0"/>
        <w:spacing w:after="0" w:line="264" w:lineRule="auto"/>
        <w:ind w:right="20"/>
        <w:jc w:val="both"/>
        <w:rPr>
          <w:rFonts w:ascii="Times New Roman" w:hAnsi="Times New Roman"/>
          <w:sz w:val="24"/>
          <w:szCs w:val="24"/>
        </w:rPr>
      </w:pPr>
      <w:r>
        <w:rPr>
          <w:rFonts w:ascii="Times" w:hAnsi="Times" w:cs="Times"/>
          <w:sz w:val="19"/>
          <w:szCs w:val="19"/>
        </w:rPr>
        <w:t xml:space="preserve">Certainly the capital budgeting decision itself is significantly affected by the existence of inflation and higher inflationary expectations, and of critical importance is that the capital budgeting decision is not neutral even if prices of output are expected to rise at the same rate as costs and the cost of capital. Specifically, the </w:t>
      </w:r>
      <w:proofErr w:type="gramStart"/>
      <w:r>
        <w:rPr>
          <w:rFonts w:ascii="Times" w:hAnsi="Times" w:cs="Times"/>
          <w:sz w:val="19"/>
          <w:szCs w:val="19"/>
        </w:rPr>
        <w:t>implications of an increase in the expected rate of inflation on the capital budgeting process and decision making is</w:t>
      </w:r>
      <w:proofErr w:type="gramEnd"/>
      <w:r>
        <w:rPr>
          <w:rFonts w:ascii="Times" w:hAnsi="Times" w:cs="Times"/>
          <w:sz w:val="19"/>
          <w:szCs w:val="19"/>
        </w:rPr>
        <w:t xml:space="preserve"> as follows:</w:t>
      </w:r>
    </w:p>
    <w:p w:rsidR="00EA749C" w:rsidRDefault="00EA749C">
      <w:pPr>
        <w:widowControl w:val="0"/>
        <w:autoSpaceDE w:val="0"/>
        <w:autoSpaceDN w:val="0"/>
        <w:adjustRightInd w:val="0"/>
        <w:spacing w:after="0" w:line="238" w:lineRule="exact"/>
        <w:rPr>
          <w:rFonts w:ascii="Times New Roman" w:hAnsi="Times New Roman"/>
          <w:sz w:val="24"/>
          <w:szCs w:val="24"/>
        </w:rPr>
      </w:pPr>
    </w:p>
    <w:p w:rsidR="00EA749C" w:rsidRDefault="007A1480">
      <w:pPr>
        <w:widowControl w:val="0"/>
        <w:numPr>
          <w:ilvl w:val="0"/>
          <w:numId w:val="3"/>
        </w:numPr>
        <w:tabs>
          <w:tab w:val="clear" w:pos="720"/>
          <w:tab w:val="num" w:pos="560"/>
        </w:tabs>
        <w:overflowPunct w:val="0"/>
        <w:autoSpaceDE w:val="0"/>
        <w:autoSpaceDN w:val="0"/>
        <w:adjustRightInd w:val="0"/>
        <w:spacing w:after="0" w:line="248" w:lineRule="auto"/>
        <w:ind w:left="560" w:right="280" w:hanging="266"/>
        <w:jc w:val="both"/>
        <w:rPr>
          <w:rFonts w:ascii="Times" w:hAnsi="Times" w:cs="Times"/>
          <w:sz w:val="20"/>
          <w:szCs w:val="20"/>
        </w:rPr>
      </w:pPr>
      <w:r>
        <w:rPr>
          <w:rFonts w:ascii="Times" w:hAnsi="Times" w:cs="Times"/>
          <w:sz w:val="20"/>
          <w:szCs w:val="20"/>
        </w:rPr>
        <w:t xml:space="preserve">Assuming the firm could not raise output prices above the general rate of inflation, the firm would have to accept lower NPV and hence lower profitability as measured by NPV. At the margin, the firm would have to forego investment projects unless output prices could be raised at a rate greater than the general expected rate of inflation. The exact amount which prices would have to be raised is dependent upon the degree of net working capital required relative to the overall level of investment. </w:t>
      </w:r>
    </w:p>
    <w:p w:rsidR="00EA749C" w:rsidRDefault="00EA749C">
      <w:pPr>
        <w:widowControl w:val="0"/>
        <w:autoSpaceDE w:val="0"/>
        <w:autoSpaceDN w:val="0"/>
        <w:adjustRightInd w:val="0"/>
        <w:spacing w:after="0" w:line="131" w:lineRule="exact"/>
        <w:rPr>
          <w:rFonts w:ascii="Times" w:hAnsi="Times" w:cs="Times"/>
          <w:sz w:val="20"/>
          <w:szCs w:val="20"/>
        </w:rPr>
      </w:pPr>
    </w:p>
    <w:p w:rsidR="00EA749C" w:rsidRDefault="007A1480">
      <w:pPr>
        <w:widowControl w:val="0"/>
        <w:numPr>
          <w:ilvl w:val="0"/>
          <w:numId w:val="3"/>
        </w:numPr>
        <w:tabs>
          <w:tab w:val="clear" w:pos="720"/>
          <w:tab w:val="num" w:pos="560"/>
        </w:tabs>
        <w:overflowPunct w:val="0"/>
        <w:autoSpaceDE w:val="0"/>
        <w:autoSpaceDN w:val="0"/>
        <w:adjustRightInd w:val="0"/>
        <w:spacing w:after="0" w:line="264" w:lineRule="auto"/>
        <w:ind w:left="560" w:right="280" w:hanging="266"/>
        <w:jc w:val="both"/>
        <w:rPr>
          <w:rFonts w:ascii="Times" w:hAnsi="Times" w:cs="Times"/>
          <w:sz w:val="19"/>
          <w:szCs w:val="19"/>
        </w:rPr>
      </w:pPr>
      <w:r>
        <w:rPr>
          <w:rFonts w:ascii="Times" w:hAnsi="Times" w:cs="Times"/>
          <w:sz w:val="19"/>
          <w:szCs w:val="19"/>
        </w:rPr>
        <w:t xml:space="preserve">A firm does have a number of ways in which it can respond to the problems created by inflation. There are three major areas that could be addressed in an attempt to offset the negative impact of rising price levels. One action would be to raise output prices above the level of inflation, but the ability of the firm to do so will be limited to the extent that the market will withstand the higher prices. Market structure will play an important role here, with the more oligopolistic firms enjoying greater success than the more competitive firms. However, in the long run, this will lead to high inflation and thus may be self-defeating. Unless other adjustments are made, the investment sector of the economy could under allocate resources to new investment projects. </w:t>
      </w:r>
    </w:p>
    <w:p w:rsidR="00EA749C" w:rsidRDefault="00EA749C">
      <w:pPr>
        <w:widowControl w:val="0"/>
        <w:autoSpaceDE w:val="0"/>
        <w:autoSpaceDN w:val="0"/>
        <w:adjustRightInd w:val="0"/>
        <w:spacing w:after="0" w:line="117" w:lineRule="exact"/>
        <w:rPr>
          <w:rFonts w:ascii="Times" w:hAnsi="Times" w:cs="Times"/>
          <w:sz w:val="19"/>
          <w:szCs w:val="19"/>
        </w:rPr>
      </w:pPr>
    </w:p>
    <w:p w:rsidR="00EA749C" w:rsidRDefault="007A1480">
      <w:pPr>
        <w:widowControl w:val="0"/>
        <w:numPr>
          <w:ilvl w:val="0"/>
          <w:numId w:val="3"/>
        </w:numPr>
        <w:tabs>
          <w:tab w:val="clear" w:pos="720"/>
          <w:tab w:val="num" w:pos="560"/>
        </w:tabs>
        <w:overflowPunct w:val="0"/>
        <w:autoSpaceDE w:val="0"/>
        <w:autoSpaceDN w:val="0"/>
        <w:adjustRightInd w:val="0"/>
        <w:spacing w:after="0" w:line="247" w:lineRule="auto"/>
        <w:ind w:left="560" w:right="280" w:hanging="271"/>
        <w:jc w:val="both"/>
        <w:rPr>
          <w:rFonts w:ascii="Times" w:hAnsi="Times" w:cs="Times"/>
          <w:sz w:val="20"/>
          <w:szCs w:val="20"/>
        </w:rPr>
      </w:pPr>
      <w:r>
        <w:rPr>
          <w:rFonts w:ascii="Times" w:hAnsi="Times" w:cs="Times"/>
          <w:sz w:val="20"/>
          <w:szCs w:val="20"/>
        </w:rPr>
        <w:t xml:space="preserve">Two internal adjustments that can be made are with respect to net working capital and the capital structure. As the previous analysis has shown, during inflation firms will be under pressure to reduce the amount of net working capital employed by decreasing inventory and receivables and extending payables. This reduces the exposure of capital requirements increasing during the inflation. </w:t>
      </w:r>
    </w:p>
    <w:p w:rsidR="00EA749C" w:rsidRDefault="00EA749C">
      <w:pPr>
        <w:widowControl w:val="0"/>
        <w:autoSpaceDE w:val="0"/>
        <w:autoSpaceDN w:val="0"/>
        <w:adjustRightInd w:val="0"/>
        <w:spacing w:after="0" w:line="25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7" w:lineRule="auto"/>
        <w:ind w:left="20" w:right="20" w:firstLine="269"/>
        <w:jc w:val="both"/>
        <w:rPr>
          <w:rFonts w:ascii="Times New Roman" w:hAnsi="Times New Roman"/>
          <w:sz w:val="24"/>
          <w:szCs w:val="24"/>
        </w:rPr>
      </w:pPr>
      <w:r>
        <w:rPr>
          <w:rFonts w:ascii="Times" w:hAnsi="Times" w:cs="Times"/>
          <w:sz w:val="20"/>
          <w:szCs w:val="20"/>
        </w:rPr>
        <w:t xml:space="preserve">With respect to the discount rate, the major adjustment that a company can make is in its capital structure. The inflationary increase in the discount rate can be offset to some degree by increasing debt in the capital structure and </w:t>
      </w:r>
      <w:r>
        <w:rPr>
          <w:rFonts w:ascii="Times" w:hAnsi="Times" w:cs="Times"/>
          <w:sz w:val="20"/>
          <w:szCs w:val="20"/>
        </w:rPr>
        <w:lastRenderedPageBreak/>
        <w:t>lowering the weighted cost of capital. This action, however, is not available to all firms, only to those who begin the inflationary period with a relatively low amount of debt in the capital structure.</w:t>
      </w:r>
    </w:p>
    <w:p w:rsidR="00EA749C" w:rsidRDefault="00EA749C">
      <w:pPr>
        <w:widowControl w:val="0"/>
        <w:autoSpaceDE w:val="0"/>
        <w:autoSpaceDN w:val="0"/>
        <w:adjustRightInd w:val="0"/>
        <w:spacing w:after="0" w:line="1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8" w:lineRule="auto"/>
        <w:ind w:left="20" w:right="20" w:firstLine="269"/>
        <w:jc w:val="both"/>
        <w:rPr>
          <w:rFonts w:ascii="Times New Roman" w:hAnsi="Times New Roman"/>
          <w:sz w:val="24"/>
          <w:szCs w:val="24"/>
        </w:rPr>
      </w:pPr>
      <w:r>
        <w:rPr>
          <w:rFonts w:ascii="Times" w:hAnsi="Times" w:cs="Times"/>
          <w:sz w:val="20"/>
          <w:szCs w:val="20"/>
        </w:rPr>
        <w:t>Due to the above, one would expect that the degree of leverage employed by firms increases during inflationary periods. Moreover, to the extent that this is “unplanned” debt, it is more likely a firm would finance this debt from short term rather than long term borrowings. As the inflation eased, the firm would find it much easier to return to a more normal capital structure by replacing short term debt with retained earnings. This would suggest that the demand for short term funds would rise rapidly during the periods of inflation, and this has certainly been the case in the most recent inflationary periods of 1973-74 and 1978-81.</w:t>
      </w:r>
    </w:p>
    <w:p w:rsidR="00EA749C" w:rsidRDefault="00EA749C">
      <w:pPr>
        <w:widowControl w:val="0"/>
        <w:autoSpaceDE w:val="0"/>
        <w:autoSpaceDN w:val="0"/>
        <w:adjustRightInd w:val="0"/>
        <w:spacing w:after="0" w:line="240" w:lineRule="auto"/>
        <w:rPr>
          <w:rFonts w:ascii="Times New Roman" w:hAnsi="Times New Roman"/>
          <w:sz w:val="24"/>
          <w:szCs w:val="24"/>
        </w:rPr>
        <w:sectPr w:rsidR="00EA749C">
          <w:pgSz w:w="12240" w:h="15840"/>
          <w:pgMar w:top="724" w:right="1060" w:bottom="1440" w:left="1780" w:header="720" w:footer="720" w:gutter="0"/>
          <w:cols w:space="720" w:equalWidth="0">
            <w:col w:w="9400"/>
          </w:cols>
          <w:noEndnote/>
        </w:sectPr>
      </w:pPr>
    </w:p>
    <w:p w:rsidR="00EA749C" w:rsidRDefault="007A1480">
      <w:pPr>
        <w:widowControl w:val="0"/>
        <w:tabs>
          <w:tab w:val="left" w:pos="5260"/>
        </w:tabs>
        <w:autoSpaceDE w:val="0"/>
        <w:autoSpaceDN w:val="0"/>
        <w:adjustRightInd w:val="0"/>
        <w:spacing w:after="0" w:line="240" w:lineRule="auto"/>
        <w:rPr>
          <w:rFonts w:ascii="Times New Roman" w:hAnsi="Times New Roman"/>
          <w:sz w:val="24"/>
          <w:szCs w:val="24"/>
        </w:rPr>
      </w:pPr>
      <w:bookmarkStart w:id="1" w:name="page15"/>
      <w:bookmarkEnd w:id="1"/>
      <w:r>
        <w:rPr>
          <w:rFonts w:ascii="Times" w:hAnsi="Times" w:cs="Times"/>
          <w:sz w:val="20"/>
          <w:szCs w:val="20"/>
        </w:rPr>
        <w:lastRenderedPageBreak/>
        <w:t>86</w:t>
      </w:r>
      <w:r>
        <w:rPr>
          <w:rFonts w:ascii="Times New Roman" w:hAnsi="Times New Roman"/>
          <w:sz w:val="24"/>
          <w:szCs w:val="24"/>
        </w:rPr>
        <w:tab/>
      </w:r>
      <w:proofErr w:type="gramStart"/>
      <w:r>
        <w:rPr>
          <w:rFonts w:ascii="Times New Roman" w:hAnsi="Times New Roman"/>
          <w:i/>
          <w:iCs/>
        </w:rPr>
        <w:t>Journal</w:t>
      </w:r>
      <w:proofErr w:type="gramEnd"/>
      <w:r>
        <w:rPr>
          <w:rFonts w:ascii="Times New Roman" w:hAnsi="Times New Roman"/>
          <w:i/>
          <w:iCs/>
        </w:rPr>
        <w:t xml:space="preserve"> Of Financial And Strategic Decisions</w:t>
      </w:r>
    </w:p>
    <w:p w:rsidR="00EA749C" w:rsidRDefault="00146481">
      <w:pPr>
        <w:widowControl w:val="0"/>
        <w:autoSpaceDE w:val="0"/>
        <w:autoSpaceDN w:val="0"/>
        <w:adjustRightInd w:val="0"/>
        <w:spacing w:after="0" w:line="200" w:lineRule="exact"/>
        <w:rPr>
          <w:rFonts w:ascii="Times New Roman" w:hAnsi="Times New Roman"/>
          <w:sz w:val="24"/>
          <w:szCs w:val="24"/>
        </w:rPr>
      </w:pPr>
      <w:r w:rsidRPr="00146481">
        <w:rPr>
          <w:rFonts w:asciiTheme="minorHAnsi" w:hAnsiTheme="minorHAnsi" w:cstheme="minorBidi"/>
          <w:noProof/>
        </w:rPr>
        <w:pict>
          <v:line id="_x0000_s1031" style="position:absolute;z-index:-1" from="-1.4pt,1.5pt" to="469.4pt,1.5pt" o:allowincell="f" strokeweight=".72pt"/>
        </w:pict>
      </w:r>
    </w:p>
    <w:p w:rsidR="00EA749C" w:rsidRDefault="00EA749C">
      <w:pPr>
        <w:widowControl w:val="0"/>
        <w:autoSpaceDE w:val="0"/>
        <w:autoSpaceDN w:val="0"/>
        <w:adjustRightInd w:val="0"/>
        <w:spacing w:after="0" w:line="266" w:lineRule="exact"/>
        <w:rPr>
          <w:rFonts w:ascii="Times New Roman" w:hAnsi="Times New Roman"/>
          <w:sz w:val="24"/>
          <w:szCs w:val="24"/>
        </w:rPr>
      </w:pPr>
    </w:p>
    <w:p w:rsidR="00EA749C" w:rsidRDefault="007A1480">
      <w:pPr>
        <w:widowControl w:val="0"/>
        <w:autoSpaceDE w:val="0"/>
        <w:autoSpaceDN w:val="0"/>
        <w:adjustRightInd w:val="0"/>
        <w:spacing w:after="0" w:line="240" w:lineRule="auto"/>
        <w:ind w:left="2880"/>
        <w:rPr>
          <w:rFonts w:ascii="Times New Roman" w:hAnsi="Times New Roman"/>
          <w:sz w:val="24"/>
          <w:szCs w:val="24"/>
        </w:rPr>
      </w:pPr>
      <w:r>
        <w:rPr>
          <w:rFonts w:ascii="Times New Roman" w:hAnsi="Times New Roman"/>
          <w:b/>
          <w:bCs/>
          <w:sz w:val="24"/>
          <w:szCs w:val="24"/>
        </w:rPr>
        <w:t>SUMMARY AND CONCLUSIONS</w:t>
      </w:r>
    </w:p>
    <w:p w:rsidR="00EA749C" w:rsidRDefault="00EA749C">
      <w:pPr>
        <w:widowControl w:val="0"/>
        <w:autoSpaceDE w:val="0"/>
        <w:autoSpaceDN w:val="0"/>
        <w:adjustRightInd w:val="0"/>
        <w:spacing w:after="0" w:line="25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6" w:lineRule="auto"/>
        <w:ind w:firstLine="269"/>
        <w:jc w:val="both"/>
        <w:rPr>
          <w:rFonts w:ascii="Times New Roman" w:hAnsi="Times New Roman"/>
          <w:sz w:val="24"/>
          <w:szCs w:val="24"/>
        </w:rPr>
      </w:pPr>
      <w:r>
        <w:rPr>
          <w:rFonts w:ascii="Times" w:hAnsi="Times" w:cs="Times"/>
          <w:sz w:val="20"/>
          <w:szCs w:val="20"/>
        </w:rPr>
        <w:t>This paper has explored the question of the impact of inflation on the capital budgeting process. It has shown that it is reasonable to expect that the cost of capital will increase at the same rate as the rate of inflation on an ex ante basis, and that this increase will be a multiplicative relationship.</w:t>
      </w:r>
    </w:p>
    <w:p w:rsidR="00EA749C" w:rsidRDefault="00EA749C">
      <w:pPr>
        <w:widowControl w:val="0"/>
        <w:autoSpaceDE w:val="0"/>
        <w:autoSpaceDN w:val="0"/>
        <w:adjustRightInd w:val="0"/>
        <w:spacing w:after="0" w:line="1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7" w:lineRule="auto"/>
        <w:ind w:firstLine="269"/>
        <w:jc w:val="both"/>
        <w:rPr>
          <w:rFonts w:ascii="Times New Roman" w:hAnsi="Times New Roman"/>
          <w:sz w:val="24"/>
          <w:szCs w:val="24"/>
        </w:rPr>
      </w:pPr>
      <w:r>
        <w:rPr>
          <w:rFonts w:ascii="Times" w:hAnsi="Times" w:cs="Times"/>
          <w:sz w:val="20"/>
          <w:szCs w:val="20"/>
        </w:rPr>
        <w:t>In addition, the paper has shown that the capital budgeting process is not neutral with respect to inflation, even if output prices rise at the same rate as costs. Of critical importance is the degree of net working capital as a proportion of the overall financing required, the higher the net working capital the greater being the impact of inflation on capital spending.</w:t>
      </w:r>
    </w:p>
    <w:p w:rsidR="00EA749C" w:rsidRDefault="00EA749C">
      <w:pPr>
        <w:widowControl w:val="0"/>
        <w:autoSpaceDE w:val="0"/>
        <w:autoSpaceDN w:val="0"/>
        <w:adjustRightInd w:val="0"/>
        <w:spacing w:after="0" w:line="13" w:lineRule="exact"/>
        <w:rPr>
          <w:rFonts w:ascii="Times New Roman" w:hAnsi="Times New Roman"/>
          <w:sz w:val="24"/>
          <w:szCs w:val="24"/>
        </w:rPr>
      </w:pPr>
    </w:p>
    <w:p w:rsidR="00EA749C" w:rsidRDefault="007A1480">
      <w:pPr>
        <w:widowControl w:val="0"/>
        <w:overflowPunct w:val="0"/>
        <w:autoSpaceDE w:val="0"/>
        <w:autoSpaceDN w:val="0"/>
        <w:adjustRightInd w:val="0"/>
        <w:spacing w:after="0" w:line="246" w:lineRule="auto"/>
        <w:ind w:firstLine="269"/>
        <w:jc w:val="both"/>
        <w:rPr>
          <w:rFonts w:ascii="Times New Roman" w:hAnsi="Times New Roman"/>
          <w:sz w:val="24"/>
          <w:szCs w:val="24"/>
        </w:rPr>
      </w:pPr>
      <w:r>
        <w:rPr>
          <w:rFonts w:ascii="Times" w:hAnsi="Times" w:cs="Times"/>
          <w:sz w:val="20"/>
          <w:szCs w:val="20"/>
        </w:rPr>
        <w:t>Finally, it would appear that corporate financial behavior is influenced by inflation. Inflation will cause the firm to reduce its capital budget, to attempt to reduce net working capital, and to alter the debt/asset ratio using short term debt, thus driving up short term rates relative to long term rates.</w:t>
      </w:r>
    </w:p>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327" w:lineRule="exact"/>
        <w:rPr>
          <w:rFonts w:ascii="Times New Roman" w:hAnsi="Times New Roman"/>
          <w:sz w:val="24"/>
          <w:szCs w:val="24"/>
        </w:rPr>
      </w:pPr>
    </w:p>
    <w:p w:rsidR="00EA749C" w:rsidRDefault="007A1480">
      <w:pPr>
        <w:widowControl w:val="0"/>
        <w:autoSpaceDE w:val="0"/>
        <w:autoSpaceDN w:val="0"/>
        <w:adjustRightInd w:val="0"/>
        <w:spacing w:after="0" w:line="240" w:lineRule="auto"/>
        <w:ind w:left="3900"/>
        <w:rPr>
          <w:rFonts w:ascii="Times New Roman" w:hAnsi="Times New Roman"/>
          <w:sz w:val="24"/>
          <w:szCs w:val="24"/>
        </w:rPr>
      </w:pPr>
      <w:r>
        <w:rPr>
          <w:rFonts w:ascii="Times New Roman" w:hAnsi="Times New Roman"/>
          <w:b/>
          <w:bCs/>
          <w:sz w:val="24"/>
          <w:szCs w:val="24"/>
        </w:rPr>
        <w:t>REFERENCES</w:t>
      </w:r>
    </w:p>
    <w:p w:rsidR="00EA749C" w:rsidRDefault="00EA749C">
      <w:pPr>
        <w:widowControl w:val="0"/>
        <w:autoSpaceDE w:val="0"/>
        <w:autoSpaceDN w:val="0"/>
        <w:adjustRightInd w:val="0"/>
        <w:spacing w:after="0" w:line="253" w:lineRule="exact"/>
        <w:rPr>
          <w:rFonts w:ascii="Times New Roman" w:hAnsi="Times New Roman"/>
          <w:sz w:val="24"/>
          <w:szCs w:val="24"/>
        </w:rPr>
      </w:pPr>
    </w:p>
    <w:p w:rsidR="00EA749C" w:rsidRDefault="007A1480">
      <w:pPr>
        <w:widowControl w:val="0"/>
        <w:numPr>
          <w:ilvl w:val="0"/>
          <w:numId w:val="4"/>
        </w:numPr>
        <w:tabs>
          <w:tab w:val="clear" w:pos="720"/>
          <w:tab w:val="num" w:pos="360"/>
        </w:tabs>
        <w:overflowPunct w:val="0"/>
        <w:autoSpaceDE w:val="0"/>
        <w:autoSpaceDN w:val="0"/>
        <w:adjustRightInd w:val="0"/>
        <w:spacing w:after="0" w:line="241" w:lineRule="auto"/>
        <w:ind w:left="360"/>
        <w:jc w:val="both"/>
        <w:rPr>
          <w:rFonts w:ascii="Times" w:hAnsi="Times" w:cs="Times"/>
          <w:sz w:val="20"/>
          <w:szCs w:val="20"/>
        </w:rPr>
      </w:pPr>
      <w:r>
        <w:rPr>
          <w:rFonts w:ascii="Times" w:hAnsi="Times" w:cs="Times"/>
          <w:sz w:val="20"/>
          <w:szCs w:val="20"/>
        </w:rPr>
        <w:t xml:space="preserve">Andres D. </w:t>
      </w:r>
      <w:proofErr w:type="spellStart"/>
      <w:r>
        <w:rPr>
          <w:rFonts w:ascii="Times" w:hAnsi="Times" w:cs="Times"/>
          <w:sz w:val="20"/>
          <w:szCs w:val="20"/>
        </w:rPr>
        <w:t>Baily</w:t>
      </w:r>
      <w:proofErr w:type="spellEnd"/>
      <w:r>
        <w:rPr>
          <w:rFonts w:ascii="Times" w:hAnsi="Times" w:cs="Times"/>
          <w:sz w:val="20"/>
          <w:szCs w:val="20"/>
        </w:rPr>
        <w:t xml:space="preserve">, Jr. and Daniel L. Jensen, “General Price Level Adjustments in the Capital Budgeting Decision,” </w:t>
      </w:r>
      <w:r>
        <w:rPr>
          <w:rFonts w:ascii="Times New Roman" w:hAnsi="Times New Roman"/>
          <w:b/>
          <w:bCs/>
          <w:i/>
          <w:iCs/>
          <w:sz w:val="20"/>
          <w:szCs w:val="20"/>
        </w:rPr>
        <w:t>Financial Management</w:t>
      </w:r>
      <w:r>
        <w:rPr>
          <w:rFonts w:ascii="Times" w:hAnsi="Times" w:cs="Times"/>
          <w:sz w:val="20"/>
          <w:szCs w:val="20"/>
        </w:rPr>
        <w:t xml:space="preserve">, </w:t>
      </w:r>
      <w:proofErr w:type="gramStart"/>
      <w:r>
        <w:rPr>
          <w:rFonts w:ascii="Times" w:hAnsi="Times" w:cs="Times"/>
          <w:sz w:val="20"/>
          <w:szCs w:val="20"/>
        </w:rPr>
        <w:t>Spring</w:t>
      </w:r>
      <w:proofErr w:type="gramEnd"/>
      <w:r>
        <w:rPr>
          <w:rFonts w:ascii="Times" w:hAnsi="Times" w:cs="Times"/>
          <w:sz w:val="20"/>
          <w:szCs w:val="20"/>
        </w:rPr>
        <w:t xml:space="preserve"> 1977, pp. 26-32.</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49"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39" w:lineRule="auto"/>
        <w:ind w:left="360"/>
        <w:jc w:val="both"/>
        <w:rPr>
          <w:rFonts w:ascii="Times" w:hAnsi="Times" w:cs="Times"/>
          <w:sz w:val="20"/>
          <w:szCs w:val="20"/>
        </w:rPr>
      </w:pPr>
      <w:r>
        <w:rPr>
          <w:rFonts w:ascii="Times" w:hAnsi="Times" w:cs="Times"/>
          <w:sz w:val="20"/>
          <w:szCs w:val="20"/>
        </w:rPr>
        <w:t xml:space="preserve">Peter L. </w:t>
      </w:r>
      <w:proofErr w:type="spellStart"/>
      <w:r>
        <w:rPr>
          <w:rFonts w:ascii="Times" w:hAnsi="Times" w:cs="Times"/>
          <w:sz w:val="20"/>
          <w:szCs w:val="20"/>
        </w:rPr>
        <w:t>Berstein</w:t>
      </w:r>
      <w:proofErr w:type="spellEnd"/>
      <w:r>
        <w:rPr>
          <w:rFonts w:ascii="Times" w:hAnsi="Times" w:cs="Times"/>
          <w:sz w:val="20"/>
          <w:szCs w:val="20"/>
        </w:rPr>
        <w:t xml:space="preserve">, “The Gibson Paradox Revisited,” </w:t>
      </w:r>
      <w:r>
        <w:rPr>
          <w:rFonts w:ascii="Times New Roman" w:hAnsi="Times New Roman"/>
          <w:b/>
          <w:bCs/>
          <w:i/>
          <w:iCs/>
          <w:sz w:val="20"/>
          <w:szCs w:val="20"/>
        </w:rPr>
        <w:t>The Financial Review</w:t>
      </w:r>
      <w:r>
        <w:rPr>
          <w:rFonts w:ascii="Times" w:hAnsi="Times" w:cs="Times"/>
          <w:sz w:val="20"/>
          <w:szCs w:val="20"/>
        </w:rPr>
        <w:t xml:space="preserve">, September 1982, pp. 153-164. </w:t>
      </w:r>
    </w:p>
    <w:p w:rsidR="00EA749C" w:rsidRDefault="00EA749C">
      <w:pPr>
        <w:widowControl w:val="0"/>
        <w:autoSpaceDE w:val="0"/>
        <w:autoSpaceDN w:val="0"/>
        <w:adjustRightInd w:val="0"/>
        <w:spacing w:after="0" w:line="259"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1" w:lineRule="auto"/>
        <w:ind w:left="360"/>
        <w:jc w:val="both"/>
        <w:rPr>
          <w:rFonts w:ascii="Times" w:hAnsi="Times" w:cs="Times"/>
          <w:sz w:val="20"/>
          <w:szCs w:val="20"/>
        </w:rPr>
      </w:pPr>
      <w:r>
        <w:rPr>
          <w:rFonts w:ascii="Times" w:hAnsi="Times" w:cs="Times"/>
          <w:sz w:val="20"/>
          <w:szCs w:val="20"/>
        </w:rPr>
        <w:t xml:space="preserve">P. </w:t>
      </w:r>
      <w:proofErr w:type="spellStart"/>
      <w:r>
        <w:rPr>
          <w:rFonts w:ascii="Times" w:hAnsi="Times" w:cs="Times"/>
          <w:sz w:val="20"/>
          <w:szCs w:val="20"/>
        </w:rPr>
        <w:t>Bjerksund</w:t>
      </w:r>
      <w:proofErr w:type="spellEnd"/>
      <w:r>
        <w:rPr>
          <w:rFonts w:ascii="Times" w:hAnsi="Times" w:cs="Times"/>
          <w:sz w:val="20"/>
          <w:szCs w:val="20"/>
        </w:rPr>
        <w:t xml:space="preserve"> and </w:t>
      </w:r>
      <w:proofErr w:type="spellStart"/>
      <w:r>
        <w:rPr>
          <w:rFonts w:ascii="Times" w:hAnsi="Times" w:cs="Times"/>
          <w:sz w:val="20"/>
          <w:szCs w:val="20"/>
        </w:rPr>
        <w:t>Steinar</w:t>
      </w:r>
      <w:proofErr w:type="spellEnd"/>
      <w:r>
        <w:rPr>
          <w:rFonts w:ascii="Times" w:hAnsi="Times" w:cs="Times"/>
          <w:sz w:val="20"/>
          <w:szCs w:val="20"/>
        </w:rPr>
        <w:t xml:space="preserve"> </w:t>
      </w:r>
      <w:proofErr w:type="spellStart"/>
      <w:r>
        <w:rPr>
          <w:rFonts w:ascii="Times" w:hAnsi="Times" w:cs="Times"/>
          <w:sz w:val="20"/>
          <w:szCs w:val="20"/>
        </w:rPr>
        <w:t>Ekern</w:t>
      </w:r>
      <w:proofErr w:type="spellEnd"/>
      <w:r>
        <w:rPr>
          <w:rFonts w:ascii="Times" w:hAnsi="Times" w:cs="Times"/>
          <w:sz w:val="20"/>
          <w:szCs w:val="20"/>
        </w:rPr>
        <w:t xml:space="preserve">, “Managing Investment Opportunities Under Price Uncertainty: From ‘Last Change’ to ‘Wait and See’ </w:t>
      </w:r>
      <w:proofErr w:type="spellStart"/>
      <w:r>
        <w:rPr>
          <w:rFonts w:ascii="Times" w:hAnsi="Times" w:cs="Times"/>
          <w:sz w:val="20"/>
          <w:szCs w:val="20"/>
        </w:rPr>
        <w:t>Stregies</w:t>
      </w:r>
      <w:proofErr w:type="spellEnd"/>
      <w:r>
        <w:rPr>
          <w:rFonts w:ascii="Times" w:hAnsi="Times" w:cs="Times"/>
          <w:sz w:val="20"/>
          <w:szCs w:val="20"/>
        </w:rPr>
        <w:t xml:space="preserve">,” </w:t>
      </w:r>
      <w:r>
        <w:rPr>
          <w:rFonts w:ascii="Times New Roman" w:hAnsi="Times New Roman"/>
          <w:b/>
          <w:bCs/>
          <w:i/>
          <w:iCs/>
          <w:sz w:val="20"/>
          <w:szCs w:val="20"/>
        </w:rPr>
        <w:t>Financial Management</w:t>
      </w:r>
      <w:r>
        <w:rPr>
          <w:rFonts w:ascii="Times" w:hAnsi="Times" w:cs="Times"/>
          <w:sz w:val="20"/>
          <w:szCs w:val="20"/>
        </w:rPr>
        <w:t xml:space="preserve">, </w:t>
      </w:r>
      <w:proofErr w:type="gramStart"/>
      <w:r>
        <w:rPr>
          <w:rFonts w:ascii="Times" w:hAnsi="Times" w:cs="Times"/>
          <w:sz w:val="20"/>
          <w:szCs w:val="20"/>
        </w:rPr>
        <w:t>Autumn</w:t>
      </w:r>
      <w:proofErr w:type="gramEnd"/>
      <w:r>
        <w:rPr>
          <w:rFonts w:ascii="Times" w:hAnsi="Times" w:cs="Times"/>
          <w:sz w:val="20"/>
          <w:szCs w:val="20"/>
        </w:rPr>
        <w:t xml:space="preserve">, 1990, pp. 65-83. </w:t>
      </w:r>
    </w:p>
    <w:p w:rsidR="00EA749C" w:rsidRDefault="00EA749C">
      <w:pPr>
        <w:widowControl w:val="0"/>
        <w:autoSpaceDE w:val="0"/>
        <w:autoSpaceDN w:val="0"/>
        <w:adjustRightInd w:val="0"/>
        <w:spacing w:after="0" w:line="258"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1" w:lineRule="auto"/>
        <w:ind w:left="360"/>
        <w:jc w:val="both"/>
        <w:rPr>
          <w:rFonts w:ascii="Times" w:hAnsi="Times" w:cs="Times"/>
          <w:sz w:val="20"/>
          <w:szCs w:val="20"/>
        </w:rPr>
      </w:pPr>
      <w:r>
        <w:rPr>
          <w:rFonts w:ascii="Times" w:hAnsi="Times" w:cs="Times"/>
          <w:sz w:val="20"/>
          <w:szCs w:val="20"/>
        </w:rPr>
        <w:t xml:space="preserve">P. </w:t>
      </w:r>
      <w:proofErr w:type="spellStart"/>
      <w:r>
        <w:rPr>
          <w:rFonts w:ascii="Times" w:hAnsi="Times" w:cs="Times"/>
          <w:sz w:val="20"/>
          <w:szCs w:val="20"/>
        </w:rPr>
        <w:t>Cagan</w:t>
      </w:r>
      <w:proofErr w:type="spellEnd"/>
      <w:r>
        <w:rPr>
          <w:rFonts w:ascii="Times" w:hAnsi="Times" w:cs="Times"/>
          <w:sz w:val="20"/>
          <w:szCs w:val="20"/>
        </w:rPr>
        <w:t xml:space="preserve"> and A. </w:t>
      </w:r>
      <w:proofErr w:type="spellStart"/>
      <w:r>
        <w:rPr>
          <w:rFonts w:ascii="Times" w:hAnsi="Times" w:cs="Times"/>
          <w:sz w:val="20"/>
          <w:szCs w:val="20"/>
        </w:rPr>
        <w:t>Gandolfi</w:t>
      </w:r>
      <w:proofErr w:type="spellEnd"/>
      <w:r>
        <w:rPr>
          <w:rFonts w:ascii="Times" w:hAnsi="Times" w:cs="Times"/>
          <w:sz w:val="20"/>
          <w:szCs w:val="20"/>
        </w:rPr>
        <w:t xml:space="preserve">, “The Lag in Monetary Policy as Implied by the Time Pattern of Monetary Effects on Interest Rates,” </w:t>
      </w:r>
      <w:r>
        <w:rPr>
          <w:rFonts w:ascii="Times New Roman" w:hAnsi="Times New Roman"/>
          <w:b/>
          <w:bCs/>
          <w:i/>
          <w:iCs/>
          <w:sz w:val="20"/>
          <w:szCs w:val="20"/>
        </w:rPr>
        <w:t>American Economic Review</w:t>
      </w:r>
      <w:r>
        <w:rPr>
          <w:rFonts w:ascii="Times" w:hAnsi="Times" w:cs="Times"/>
          <w:sz w:val="20"/>
          <w:szCs w:val="20"/>
        </w:rPr>
        <w:t xml:space="preserve">, May, 1969. </w:t>
      </w:r>
    </w:p>
    <w:p w:rsidR="00EA749C" w:rsidRDefault="00EA749C">
      <w:pPr>
        <w:widowControl w:val="0"/>
        <w:autoSpaceDE w:val="0"/>
        <w:autoSpaceDN w:val="0"/>
        <w:adjustRightInd w:val="0"/>
        <w:spacing w:after="0" w:line="257"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2" w:lineRule="auto"/>
        <w:ind w:left="360"/>
        <w:jc w:val="both"/>
        <w:rPr>
          <w:rFonts w:ascii="Times" w:hAnsi="Times" w:cs="Times"/>
          <w:sz w:val="20"/>
          <w:szCs w:val="20"/>
        </w:rPr>
      </w:pPr>
      <w:r>
        <w:rPr>
          <w:rFonts w:ascii="Times" w:hAnsi="Times" w:cs="Times"/>
          <w:sz w:val="20"/>
          <w:szCs w:val="20"/>
        </w:rPr>
        <w:t xml:space="preserve">John A. Carlson, “Short Term Interest Rates as Predictors of Inflation: A Comment,” </w:t>
      </w:r>
      <w:r>
        <w:rPr>
          <w:rFonts w:ascii="Times New Roman" w:hAnsi="Times New Roman"/>
          <w:b/>
          <w:bCs/>
          <w:i/>
          <w:iCs/>
          <w:sz w:val="20"/>
          <w:szCs w:val="20"/>
        </w:rPr>
        <w:t>American Economic Review</w:t>
      </w:r>
      <w:r>
        <w:rPr>
          <w:rFonts w:ascii="Times" w:hAnsi="Times" w:cs="Times"/>
          <w:sz w:val="20"/>
          <w:szCs w:val="20"/>
        </w:rPr>
        <w:t xml:space="preserve">, June, 1977, pp. 469-475. </w:t>
      </w:r>
    </w:p>
    <w:p w:rsidR="00EA749C" w:rsidRDefault="00EA749C">
      <w:pPr>
        <w:widowControl w:val="0"/>
        <w:autoSpaceDE w:val="0"/>
        <w:autoSpaceDN w:val="0"/>
        <w:adjustRightInd w:val="0"/>
        <w:spacing w:after="0" w:line="257"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1" w:lineRule="auto"/>
        <w:ind w:left="360"/>
        <w:jc w:val="both"/>
        <w:rPr>
          <w:rFonts w:ascii="Times" w:hAnsi="Times" w:cs="Times"/>
          <w:sz w:val="20"/>
          <w:szCs w:val="20"/>
        </w:rPr>
      </w:pPr>
      <w:r>
        <w:rPr>
          <w:rFonts w:ascii="Times" w:hAnsi="Times" w:cs="Times"/>
          <w:sz w:val="20"/>
          <w:szCs w:val="20"/>
        </w:rPr>
        <w:t xml:space="preserve">Phillip L. Cooley, Rodney L. </w:t>
      </w:r>
      <w:proofErr w:type="spellStart"/>
      <w:r>
        <w:rPr>
          <w:rFonts w:ascii="Times" w:hAnsi="Times" w:cs="Times"/>
          <w:sz w:val="20"/>
          <w:szCs w:val="20"/>
        </w:rPr>
        <w:t>Roenfeldt</w:t>
      </w:r>
      <w:proofErr w:type="spellEnd"/>
      <w:r>
        <w:rPr>
          <w:rFonts w:ascii="Times" w:hAnsi="Times" w:cs="Times"/>
          <w:sz w:val="20"/>
          <w:szCs w:val="20"/>
        </w:rPr>
        <w:t>, and It-</w:t>
      </w:r>
      <w:proofErr w:type="spellStart"/>
      <w:r>
        <w:rPr>
          <w:rFonts w:ascii="Times" w:hAnsi="Times" w:cs="Times"/>
          <w:sz w:val="20"/>
          <w:szCs w:val="20"/>
        </w:rPr>
        <w:t>Keong</w:t>
      </w:r>
      <w:proofErr w:type="spellEnd"/>
      <w:r>
        <w:rPr>
          <w:rFonts w:ascii="Times" w:hAnsi="Times" w:cs="Times"/>
          <w:sz w:val="20"/>
          <w:szCs w:val="20"/>
        </w:rPr>
        <w:t xml:space="preserve"> Chew, “Capital Budgeting Procedures Under Inflation,” </w:t>
      </w:r>
      <w:r>
        <w:rPr>
          <w:rFonts w:ascii="Times New Roman" w:hAnsi="Times New Roman"/>
          <w:b/>
          <w:bCs/>
          <w:i/>
          <w:iCs/>
          <w:sz w:val="20"/>
          <w:szCs w:val="20"/>
        </w:rPr>
        <w:t>Financial Management</w:t>
      </w:r>
      <w:r>
        <w:rPr>
          <w:rFonts w:ascii="Times" w:hAnsi="Times" w:cs="Times"/>
          <w:sz w:val="20"/>
          <w:szCs w:val="20"/>
        </w:rPr>
        <w:t xml:space="preserve">, </w:t>
      </w:r>
      <w:proofErr w:type="gramStart"/>
      <w:r>
        <w:rPr>
          <w:rFonts w:ascii="Times" w:hAnsi="Times" w:cs="Times"/>
          <w:sz w:val="20"/>
          <w:szCs w:val="20"/>
        </w:rPr>
        <w:t>Winter</w:t>
      </w:r>
      <w:proofErr w:type="gramEnd"/>
      <w:r>
        <w:rPr>
          <w:rFonts w:ascii="Times" w:hAnsi="Times" w:cs="Times"/>
          <w:sz w:val="20"/>
          <w:szCs w:val="20"/>
        </w:rPr>
        <w:t xml:space="preserve"> 1975, pp. 12-17.</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57"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2" w:lineRule="auto"/>
        <w:ind w:left="360"/>
        <w:jc w:val="both"/>
        <w:rPr>
          <w:rFonts w:ascii="Times" w:hAnsi="Times" w:cs="Times"/>
          <w:sz w:val="20"/>
          <w:szCs w:val="20"/>
        </w:rPr>
      </w:pPr>
      <w:r>
        <w:rPr>
          <w:rFonts w:ascii="Times" w:hAnsi="Times" w:cs="Times"/>
          <w:sz w:val="20"/>
          <w:szCs w:val="20"/>
        </w:rPr>
        <w:t xml:space="preserve">Eugene F. </w:t>
      </w:r>
      <w:proofErr w:type="spellStart"/>
      <w:r>
        <w:rPr>
          <w:rFonts w:ascii="Times" w:hAnsi="Times" w:cs="Times"/>
          <w:sz w:val="20"/>
          <w:szCs w:val="20"/>
        </w:rPr>
        <w:t>Fama</w:t>
      </w:r>
      <w:proofErr w:type="spellEnd"/>
      <w:r>
        <w:rPr>
          <w:rFonts w:ascii="Times" w:hAnsi="Times" w:cs="Times"/>
          <w:sz w:val="20"/>
          <w:szCs w:val="20"/>
        </w:rPr>
        <w:t xml:space="preserve">, “Short Term Interest Rates as Predictors of Inflation,” </w:t>
      </w:r>
      <w:r>
        <w:rPr>
          <w:rFonts w:ascii="Times New Roman" w:hAnsi="Times New Roman"/>
          <w:b/>
          <w:bCs/>
          <w:i/>
          <w:iCs/>
          <w:sz w:val="20"/>
          <w:szCs w:val="20"/>
        </w:rPr>
        <w:t>American Economic Review</w:t>
      </w:r>
      <w:r>
        <w:rPr>
          <w:rFonts w:ascii="Times" w:hAnsi="Times" w:cs="Times"/>
          <w:sz w:val="20"/>
          <w:szCs w:val="20"/>
        </w:rPr>
        <w:t xml:space="preserve">, June, 1975, pp. 269-282. </w:t>
      </w:r>
    </w:p>
    <w:p w:rsidR="00EA749C" w:rsidRDefault="00EA749C">
      <w:pPr>
        <w:widowControl w:val="0"/>
        <w:autoSpaceDE w:val="0"/>
        <w:autoSpaceDN w:val="0"/>
        <w:adjustRightInd w:val="0"/>
        <w:spacing w:after="0" w:line="256"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2" w:lineRule="auto"/>
        <w:ind w:left="360"/>
        <w:jc w:val="both"/>
        <w:rPr>
          <w:rFonts w:ascii="Times" w:hAnsi="Times" w:cs="Times"/>
          <w:sz w:val="20"/>
          <w:szCs w:val="20"/>
        </w:rPr>
      </w:pPr>
      <w:r>
        <w:rPr>
          <w:rFonts w:ascii="Times" w:hAnsi="Times" w:cs="Times"/>
          <w:sz w:val="20"/>
          <w:szCs w:val="20"/>
        </w:rPr>
        <w:t xml:space="preserve">Douglas </w:t>
      </w:r>
      <w:proofErr w:type="spellStart"/>
      <w:r>
        <w:rPr>
          <w:rFonts w:ascii="Times" w:hAnsi="Times" w:cs="Times"/>
          <w:sz w:val="20"/>
          <w:szCs w:val="20"/>
        </w:rPr>
        <w:t>Joines</w:t>
      </w:r>
      <w:proofErr w:type="spellEnd"/>
      <w:r>
        <w:rPr>
          <w:rFonts w:ascii="Times" w:hAnsi="Times" w:cs="Times"/>
          <w:sz w:val="20"/>
          <w:szCs w:val="20"/>
        </w:rPr>
        <w:t xml:space="preserve">, “Short Term Interest Rates as Predictors of Inflation: A Comment,” </w:t>
      </w:r>
      <w:r>
        <w:rPr>
          <w:rFonts w:ascii="Times New Roman" w:hAnsi="Times New Roman"/>
          <w:b/>
          <w:bCs/>
          <w:i/>
          <w:iCs/>
          <w:sz w:val="20"/>
          <w:szCs w:val="20"/>
        </w:rPr>
        <w:t>American Economic Review</w:t>
      </w:r>
      <w:r>
        <w:rPr>
          <w:rFonts w:ascii="Times" w:hAnsi="Times" w:cs="Times"/>
          <w:sz w:val="20"/>
          <w:szCs w:val="20"/>
        </w:rPr>
        <w:t xml:space="preserve">, June 1977, pp. 476-77. </w:t>
      </w:r>
    </w:p>
    <w:p w:rsidR="00EA749C" w:rsidRDefault="00EA749C">
      <w:pPr>
        <w:widowControl w:val="0"/>
        <w:autoSpaceDE w:val="0"/>
        <w:autoSpaceDN w:val="0"/>
        <w:adjustRightInd w:val="0"/>
        <w:spacing w:after="0" w:line="256"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2" w:lineRule="auto"/>
        <w:ind w:left="360"/>
        <w:jc w:val="both"/>
        <w:rPr>
          <w:rFonts w:ascii="Times" w:hAnsi="Times" w:cs="Times"/>
          <w:sz w:val="20"/>
          <w:szCs w:val="20"/>
        </w:rPr>
      </w:pPr>
      <w:r>
        <w:rPr>
          <w:rFonts w:ascii="Times" w:hAnsi="Times" w:cs="Times"/>
          <w:sz w:val="20"/>
          <w:szCs w:val="20"/>
        </w:rPr>
        <w:t xml:space="preserve">David S. Kidwell and Richard L. Peterson, </w:t>
      </w:r>
      <w:r>
        <w:rPr>
          <w:rFonts w:ascii="Times New Roman" w:hAnsi="Times New Roman"/>
          <w:b/>
          <w:bCs/>
          <w:i/>
          <w:iCs/>
          <w:sz w:val="20"/>
          <w:szCs w:val="20"/>
        </w:rPr>
        <w:t xml:space="preserve">Financial Institutions, Markets, </w:t>
      </w:r>
      <w:proofErr w:type="gramStart"/>
      <w:r>
        <w:rPr>
          <w:rFonts w:ascii="Times New Roman" w:hAnsi="Times New Roman"/>
          <w:b/>
          <w:bCs/>
          <w:i/>
          <w:iCs/>
          <w:sz w:val="20"/>
          <w:szCs w:val="20"/>
        </w:rPr>
        <w:t>And</w:t>
      </w:r>
      <w:proofErr w:type="gramEnd"/>
      <w:r>
        <w:rPr>
          <w:rFonts w:ascii="Times New Roman" w:hAnsi="Times New Roman"/>
          <w:b/>
          <w:bCs/>
          <w:i/>
          <w:iCs/>
          <w:sz w:val="20"/>
          <w:szCs w:val="20"/>
        </w:rPr>
        <w:t xml:space="preserve"> Money</w:t>
      </w:r>
      <w:r>
        <w:rPr>
          <w:rFonts w:ascii="Times" w:hAnsi="Times" w:cs="Times"/>
          <w:sz w:val="20"/>
          <w:szCs w:val="20"/>
        </w:rPr>
        <w:t xml:space="preserve">, Hinsdale, Illinois, The Dryden Press, 1981. </w:t>
      </w:r>
    </w:p>
    <w:p w:rsidR="00EA749C" w:rsidRDefault="00EA749C">
      <w:pPr>
        <w:widowControl w:val="0"/>
        <w:autoSpaceDE w:val="0"/>
        <w:autoSpaceDN w:val="0"/>
        <w:adjustRightInd w:val="0"/>
        <w:spacing w:after="0" w:line="256"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2" w:lineRule="auto"/>
        <w:ind w:left="360"/>
        <w:jc w:val="both"/>
        <w:rPr>
          <w:rFonts w:ascii="Times" w:hAnsi="Times" w:cs="Times"/>
          <w:sz w:val="20"/>
          <w:szCs w:val="20"/>
        </w:rPr>
      </w:pPr>
      <w:proofErr w:type="spellStart"/>
      <w:r>
        <w:rPr>
          <w:rFonts w:ascii="Times" w:hAnsi="Times" w:cs="Times"/>
          <w:sz w:val="20"/>
          <w:szCs w:val="20"/>
        </w:rPr>
        <w:t>Nalin</w:t>
      </w:r>
      <w:proofErr w:type="spellEnd"/>
      <w:r>
        <w:rPr>
          <w:rFonts w:ascii="Times" w:hAnsi="Times" w:cs="Times"/>
          <w:sz w:val="20"/>
          <w:szCs w:val="20"/>
        </w:rPr>
        <w:t xml:space="preserve"> </w:t>
      </w:r>
      <w:proofErr w:type="spellStart"/>
      <w:r>
        <w:rPr>
          <w:rFonts w:ascii="Times" w:hAnsi="Times" w:cs="Times"/>
          <w:sz w:val="20"/>
          <w:szCs w:val="20"/>
        </w:rPr>
        <w:t>Kulatilaka</w:t>
      </w:r>
      <w:proofErr w:type="spellEnd"/>
      <w:r>
        <w:rPr>
          <w:rFonts w:ascii="Times" w:hAnsi="Times" w:cs="Times"/>
          <w:sz w:val="20"/>
          <w:szCs w:val="20"/>
        </w:rPr>
        <w:t xml:space="preserve"> and Alan J. Marcus, “Project Valuation under Uncertainty: When Does DCF Fail,” </w:t>
      </w:r>
      <w:r>
        <w:rPr>
          <w:rFonts w:ascii="Times New Roman" w:hAnsi="Times New Roman"/>
          <w:b/>
          <w:bCs/>
          <w:i/>
          <w:iCs/>
          <w:sz w:val="20"/>
          <w:szCs w:val="20"/>
        </w:rPr>
        <w:t xml:space="preserve">Journal </w:t>
      </w:r>
      <w:proofErr w:type="gramStart"/>
      <w:r>
        <w:rPr>
          <w:rFonts w:ascii="Times New Roman" w:hAnsi="Times New Roman"/>
          <w:b/>
          <w:bCs/>
          <w:i/>
          <w:iCs/>
          <w:sz w:val="20"/>
          <w:szCs w:val="20"/>
        </w:rPr>
        <w:t>Of</w:t>
      </w:r>
      <w:proofErr w:type="gramEnd"/>
      <w:r>
        <w:rPr>
          <w:rFonts w:ascii="Times" w:hAnsi="Times" w:cs="Times"/>
          <w:sz w:val="20"/>
          <w:szCs w:val="20"/>
        </w:rPr>
        <w:t xml:space="preserve"> </w:t>
      </w:r>
      <w:r>
        <w:rPr>
          <w:rFonts w:ascii="Times New Roman" w:hAnsi="Times New Roman"/>
          <w:b/>
          <w:bCs/>
          <w:i/>
          <w:iCs/>
          <w:sz w:val="20"/>
          <w:szCs w:val="20"/>
        </w:rPr>
        <w:t>Applied Corporate Finance</w:t>
      </w:r>
      <w:r>
        <w:rPr>
          <w:rFonts w:ascii="Times" w:hAnsi="Times" w:cs="Times"/>
          <w:sz w:val="20"/>
          <w:szCs w:val="20"/>
        </w:rPr>
        <w:t>, Fall 1992, pp. 92-100.</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56"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0" w:lineRule="auto"/>
        <w:ind w:left="360"/>
        <w:jc w:val="both"/>
        <w:rPr>
          <w:rFonts w:ascii="Times" w:hAnsi="Times" w:cs="Times"/>
          <w:sz w:val="19"/>
          <w:szCs w:val="19"/>
        </w:rPr>
      </w:pPr>
      <w:r>
        <w:rPr>
          <w:rFonts w:ascii="Times" w:hAnsi="Times" w:cs="Times"/>
          <w:sz w:val="19"/>
          <w:szCs w:val="19"/>
        </w:rPr>
        <w:t xml:space="preserve">Edward Miller, “Safety Margins and Capital Budgeting Criteria,” </w:t>
      </w:r>
      <w:r>
        <w:rPr>
          <w:rFonts w:ascii="Times New Roman" w:hAnsi="Times New Roman"/>
          <w:b/>
          <w:bCs/>
          <w:i/>
          <w:iCs/>
          <w:sz w:val="19"/>
          <w:szCs w:val="19"/>
        </w:rPr>
        <w:t>Managerial Finance</w:t>
      </w:r>
      <w:r>
        <w:rPr>
          <w:rFonts w:ascii="Times" w:hAnsi="Times" w:cs="Times"/>
          <w:sz w:val="19"/>
          <w:szCs w:val="19"/>
        </w:rPr>
        <w:t xml:space="preserve">, Number 2/3, 1988, pp. 1-8. </w:t>
      </w:r>
    </w:p>
    <w:p w:rsidR="00EA749C" w:rsidRDefault="00EA749C">
      <w:pPr>
        <w:widowControl w:val="0"/>
        <w:autoSpaceDE w:val="0"/>
        <w:autoSpaceDN w:val="0"/>
        <w:adjustRightInd w:val="0"/>
        <w:spacing w:after="0" w:line="254" w:lineRule="exact"/>
        <w:rPr>
          <w:rFonts w:ascii="Times" w:hAnsi="Times" w:cs="Times"/>
          <w:sz w:val="19"/>
          <w:szCs w:val="19"/>
        </w:rPr>
      </w:pPr>
    </w:p>
    <w:p w:rsidR="00EA749C" w:rsidRDefault="007A1480">
      <w:pPr>
        <w:widowControl w:val="0"/>
        <w:numPr>
          <w:ilvl w:val="0"/>
          <w:numId w:val="4"/>
        </w:numPr>
        <w:tabs>
          <w:tab w:val="clear" w:pos="720"/>
          <w:tab w:val="num" w:pos="360"/>
        </w:tabs>
        <w:overflowPunct w:val="0"/>
        <w:autoSpaceDE w:val="0"/>
        <w:autoSpaceDN w:val="0"/>
        <w:adjustRightInd w:val="0"/>
        <w:spacing w:after="0" w:line="240" w:lineRule="auto"/>
        <w:ind w:left="360"/>
        <w:jc w:val="both"/>
        <w:rPr>
          <w:rFonts w:ascii="Times" w:hAnsi="Times" w:cs="Times"/>
          <w:sz w:val="20"/>
          <w:szCs w:val="20"/>
        </w:rPr>
      </w:pPr>
      <w:r>
        <w:rPr>
          <w:rFonts w:ascii="Times" w:hAnsi="Times" w:cs="Times"/>
          <w:sz w:val="20"/>
          <w:szCs w:val="20"/>
        </w:rPr>
        <w:t xml:space="preserve">Charles R. Nelson, “Inflation and Capital Budgeting,” </w:t>
      </w:r>
      <w:r>
        <w:rPr>
          <w:rFonts w:ascii="Times New Roman" w:hAnsi="Times New Roman"/>
          <w:b/>
          <w:bCs/>
          <w:i/>
          <w:iCs/>
          <w:sz w:val="20"/>
          <w:szCs w:val="20"/>
        </w:rPr>
        <w:t xml:space="preserve">Journal </w:t>
      </w:r>
      <w:proofErr w:type="gramStart"/>
      <w:r>
        <w:rPr>
          <w:rFonts w:ascii="Times New Roman" w:hAnsi="Times New Roman"/>
          <w:b/>
          <w:bCs/>
          <w:i/>
          <w:iCs/>
          <w:sz w:val="20"/>
          <w:szCs w:val="20"/>
        </w:rPr>
        <w:t>Of</w:t>
      </w:r>
      <w:proofErr w:type="gramEnd"/>
      <w:r>
        <w:rPr>
          <w:rFonts w:ascii="Times New Roman" w:hAnsi="Times New Roman"/>
          <w:b/>
          <w:bCs/>
          <w:i/>
          <w:iCs/>
          <w:sz w:val="20"/>
          <w:szCs w:val="20"/>
        </w:rPr>
        <w:t xml:space="preserve"> Finance</w:t>
      </w:r>
      <w:r>
        <w:rPr>
          <w:rFonts w:ascii="Times" w:hAnsi="Times" w:cs="Times"/>
          <w:sz w:val="20"/>
          <w:szCs w:val="20"/>
        </w:rPr>
        <w:t xml:space="preserve">, June, 1976, pp. 923-931. </w:t>
      </w:r>
    </w:p>
    <w:p w:rsidR="00EA749C" w:rsidRDefault="00EA749C">
      <w:pPr>
        <w:widowControl w:val="0"/>
        <w:autoSpaceDE w:val="0"/>
        <w:autoSpaceDN w:val="0"/>
        <w:adjustRightInd w:val="0"/>
        <w:spacing w:after="0" w:line="258" w:lineRule="exact"/>
        <w:rPr>
          <w:rFonts w:ascii="Times" w:hAnsi="Times" w:cs="Times"/>
          <w:sz w:val="20"/>
          <w:szCs w:val="20"/>
        </w:rPr>
      </w:pPr>
    </w:p>
    <w:p w:rsidR="00EA749C" w:rsidRDefault="007A1480">
      <w:pPr>
        <w:widowControl w:val="0"/>
        <w:numPr>
          <w:ilvl w:val="0"/>
          <w:numId w:val="4"/>
        </w:numPr>
        <w:tabs>
          <w:tab w:val="clear" w:pos="720"/>
          <w:tab w:val="num" w:pos="360"/>
        </w:tabs>
        <w:overflowPunct w:val="0"/>
        <w:autoSpaceDE w:val="0"/>
        <w:autoSpaceDN w:val="0"/>
        <w:adjustRightInd w:val="0"/>
        <w:spacing w:after="0" w:line="240" w:lineRule="auto"/>
        <w:ind w:left="360"/>
        <w:jc w:val="both"/>
        <w:rPr>
          <w:rFonts w:ascii="Times" w:hAnsi="Times" w:cs="Times"/>
          <w:sz w:val="19"/>
          <w:szCs w:val="19"/>
        </w:rPr>
      </w:pPr>
      <w:r>
        <w:rPr>
          <w:rFonts w:ascii="Times" w:hAnsi="Times" w:cs="Times"/>
          <w:sz w:val="19"/>
          <w:szCs w:val="19"/>
        </w:rPr>
        <w:t xml:space="preserve">Charles R. Nelson and G. William </w:t>
      </w:r>
      <w:proofErr w:type="spellStart"/>
      <w:r>
        <w:rPr>
          <w:rFonts w:ascii="Times" w:hAnsi="Times" w:cs="Times"/>
          <w:sz w:val="19"/>
          <w:szCs w:val="19"/>
        </w:rPr>
        <w:t>Schwert</w:t>
      </w:r>
      <w:proofErr w:type="spellEnd"/>
      <w:r>
        <w:rPr>
          <w:rFonts w:ascii="Times" w:hAnsi="Times" w:cs="Times"/>
          <w:sz w:val="19"/>
          <w:szCs w:val="19"/>
        </w:rPr>
        <w:t xml:space="preserve">, “On Testing the Hypothesis that the Real Rate of Interest is Constant,” </w:t>
      </w:r>
    </w:p>
    <w:p w:rsidR="00EA749C" w:rsidRDefault="00EA749C">
      <w:pPr>
        <w:widowControl w:val="0"/>
        <w:autoSpaceDE w:val="0"/>
        <w:autoSpaceDN w:val="0"/>
        <w:adjustRightInd w:val="0"/>
        <w:spacing w:after="0" w:line="13" w:lineRule="exact"/>
        <w:rPr>
          <w:rFonts w:ascii="Times" w:hAnsi="Times" w:cs="Times"/>
          <w:sz w:val="19"/>
          <w:szCs w:val="19"/>
        </w:rPr>
      </w:pPr>
    </w:p>
    <w:p w:rsidR="00EA749C" w:rsidRDefault="007A1480">
      <w:pPr>
        <w:widowControl w:val="0"/>
        <w:overflowPunct w:val="0"/>
        <w:autoSpaceDE w:val="0"/>
        <w:autoSpaceDN w:val="0"/>
        <w:adjustRightInd w:val="0"/>
        <w:spacing w:after="0" w:line="239" w:lineRule="auto"/>
        <w:ind w:left="360"/>
        <w:jc w:val="both"/>
        <w:rPr>
          <w:rFonts w:ascii="Times" w:hAnsi="Times" w:cs="Times"/>
          <w:sz w:val="19"/>
          <w:szCs w:val="19"/>
        </w:rPr>
      </w:pPr>
      <w:r>
        <w:rPr>
          <w:rFonts w:ascii="Times New Roman" w:hAnsi="Times New Roman"/>
          <w:b/>
          <w:bCs/>
          <w:i/>
          <w:iCs/>
          <w:sz w:val="20"/>
          <w:szCs w:val="20"/>
        </w:rPr>
        <w:t>American Economic Review</w:t>
      </w:r>
      <w:r>
        <w:rPr>
          <w:rFonts w:ascii="Times" w:hAnsi="Times" w:cs="Times"/>
          <w:sz w:val="20"/>
          <w:szCs w:val="20"/>
        </w:rPr>
        <w:t>, June 1977, pp. 478-486.</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40" w:lineRule="auto"/>
        <w:rPr>
          <w:rFonts w:ascii="Times New Roman" w:hAnsi="Times New Roman"/>
          <w:sz w:val="24"/>
          <w:szCs w:val="24"/>
        </w:rPr>
        <w:sectPr w:rsidR="00EA749C">
          <w:pgSz w:w="12240" w:h="15840"/>
          <w:pgMar w:top="727" w:right="1800" w:bottom="1440" w:left="1080" w:header="720" w:footer="720" w:gutter="0"/>
          <w:cols w:space="720" w:equalWidth="0">
            <w:col w:w="9360"/>
          </w:cols>
          <w:noEndnote/>
        </w:sectPr>
      </w:pPr>
    </w:p>
    <w:tbl>
      <w:tblPr>
        <w:tblW w:w="0" w:type="auto"/>
        <w:tblLayout w:type="fixed"/>
        <w:tblCellMar>
          <w:left w:w="0" w:type="dxa"/>
          <w:right w:w="0" w:type="dxa"/>
        </w:tblCellMar>
        <w:tblLook w:val="0000"/>
      </w:tblPr>
      <w:tblGrid>
        <w:gridCol w:w="7440"/>
        <w:gridCol w:w="1960"/>
      </w:tblGrid>
      <w:tr w:rsidR="00EA749C" w:rsidRPr="005622AA">
        <w:trPr>
          <w:trHeight w:val="255"/>
        </w:trPr>
        <w:tc>
          <w:tcPr>
            <w:tcW w:w="744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40" w:lineRule="auto"/>
              <w:ind w:left="20"/>
              <w:rPr>
                <w:rFonts w:ascii="Times New Roman" w:eastAsiaTheme="minorEastAsia" w:hAnsi="Times New Roman"/>
                <w:sz w:val="24"/>
                <w:szCs w:val="24"/>
              </w:rPr>
            </w:pPr>
            <w:bookmarkStart w:id="2" w:name="page17"/>
            <w:bookmarkEnd w:id="2"/>
            <w:r w:rsidRPr="005622AA">
              <w:rPr>
                <w:rFonts w:ascii="Times" w:eastAsiaTheme="minorEastAsia" w:hAnsi="Times" w:cs="Times"/>
              </w:rPr>
              <w:lastRenderedPageBreak/>
              <w:t>The Impact Of Inflation On Capital Budgeting And Working Capital</w:t>
            </w:r>
          </w:p>
        </w:tc>
        <w:tc>
          <w:tcPr>
            <w:tcW w:w="1960" w:type="dxa"/>
            <w:tcBorders>
              <w:top w:val="nil"/>
              <w:left w:val="nil"/>
              <w:bottom w:val="nil"/>
              <w:right w:val="nil"/>
            </w:tcBorders>
            <w:vAlign w:val="bottom"/>
          </w:tcPr>
          <w:p w:rsidR="00EA749C" w:rsidRPr="005622AA" w:rsidRDefault="007A1480">
            <w:pPr>
              <w:widowControl w:val="0"/>
              <w:autoSpaceDE w:val="0"/>
              <w:autoSpaceDN w:val="0"/>
              <w:adjustRightInd w:val="0"/>
              <w:spacing w:after="0" w:line="229" w:lineRule="exact"/>
              <w:jc w:val="right"/>
              <w:rPr>
                <w:rFonts w:ascii="Times New Roman" w:eastAsiaTheme="minorEastAsia" w:hAnsi="Times New Roman"/>
                <w:sz w:val="24"/>
                <w:szCs w:val="24"/>
              </w:rPr>
            </w:pPr>
            <w:r w:rsidRPr="005622AA">
              <w:rPr>
                <w:rFonts w:ascii="Times" w:eastAsiaTheme="minorEastAsia" w:hAnsi="Times" w:cs="Times"/>
                <w:sz w:val="20"/>
                <w:szCs w:val="20"/>
              </w:rPr>
              <w:t>87</w:t>
            </w:r>
          </w:p>
        </w:tc>
      </w:tr>
      <w:tr w:rsidR="00EA749C" w:rsidRPr="005622AA">
        <w:trPr>
          <w:trHeight w:val="24"/>
        </w:trPr>
        <w:tc>
          <w:tcPr>
            <w:tcW w:w="744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
                <w:szCs w:val="2"/>
              </w:rPr>
            </w:pPr>
          </w:p>
        </w:tc>
        <w:tc>
          <w:tcPr>
            <w:tcW w:w="1960" w:type="dxa"/>
            <w:tcBorders>
              <w:top w:val="nil"/>
              <w:left w:val="nil"/>
              <w:bottom w:val="single" w:sz="8" w:space="0" w:color="auto"/>
              <w:right w:val="nil"/>
            </w:tcBorders>
            <w:vAlign w:val="bottom"/>
          </w:tcPr>
          <w:p w:rsidR="00EA749C" w:rsidRPr="005622AA" w:rsidRDefault="00EA749C">
            <w:pPr>
              <w:widowControl w:val="0"/>
              <w:autoSpaceDE w:val="0"/>
              <w:autoSpaceDN w:val="0"/>
              <w:adjustRightInd w:val="0"/>
              <w:spacing w:after="0" w:line="240" w:lineRule="auto"/>
              <w:rPr>
                <w:rFonts w:ascii="Times New Roman" w:eastAsiaTheme="minorEastAsia" w:hAnsi="Times New Roman"/>
                <w:sz w:val="2"/>
                <w:szCs w:val="2"/>
              </w:rPr>
            </w:pPr>
          </w:p>
        </w:tc>
      </w:tr>
    </w:tbl>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200" w:lineRule="exact"/>
        <w:rPr>
          <w:rFonts w:ascii="Times New Roman" w:hAnsi="Times New Roman"/>
          <w:sz w:val="24"/>
          <w:szCs w:val="24"/>
        </w:rPr>
      </w:pPr>
    </w:p>
    <w:p w:rsidR="00EA749C" w:rsidRDefault="00EA749C">
      <w:pPr>
        <w:widowControl w:val="0"/>
        <w:autoSpaceDE w:val="0"/>
        <w:autoSpaceDN w:val="0"/>
        <w:adjustRightInd w:val="0"/>
        <w:spacing w:after="0" w:line="315" w:lineRule="exact"/>
        <w:rPr>
          <w:rFonts w:ascii="Times New Roman" w:hAnsi="Times New Roman"/>
          <w:sz w:val="24"/>
          <w:szCs w:val="24"/>
        </w:rPr>
      </w:pPr>
    </w:p>
    <w:p w:rsidR="00EA749C" w:rsidRDefault="007A1480">
      <w:pPr>
        <w:widowControl w:val="0"/>
        <w:numPr>
          <w:ilvl w:val="0"/>
          <w:numId w:val="5"/>
        </w:numPr>
        <w:tabs>
          <w:tab w:val="clear" w:pos="720"/>
          <w:tab w:val="num" w:pos="380"/>
        </w:tabs>
        <w:overflowPunct w:val="0"/>
        <w:autoSpaceDE w:val="0"/>
        <w:autoSpaceDN w:val="0"/>
        <w:adjustRightInd w:val="0"/>
        <w:spacing w:after="0" w:line="241" w:lineRule="auto"/>
        <w:ind w:left="380" w:right="20"/>
        <w:jc w:val="both"/>
        <w:rPr>
          <w:rFonts w:ascii="Times" w:hAnsi="Times" w:cs="Times"/>
          <w:sz w:val="20"/>
          <w:szCs w:val="20"/>
        </w:rPr>
      </w:pPr>
      <w:r>
        <w:rPr>
          <w:rFonts w:ascii="Times" w:hAnsi="Times" w:cs="Times"/>
          <w:sz w:val="20"/>
          <w:szCs w:val="20"/>
        </w:rPr>
        <w:t xml:space="preserve">Alfred </w:t>
      </w:r>
      <w:proofErr w:type="spellStart"/>
      <w:r>
        <w:rPr>
          <w:rFonts w:ascii="Times" w:hAnsi="Times" w:cs="Times"/>
          <w:sz w:val="20"/>
          <w:szCs w:val="20"/>
        </w:rPr>
        <w:t>Rappaport</w:t>
      </w:r>
      <w:proofErr w:type="spellEnd"/>
      <w:r>
        <w:rPr>
          <w:rFonts w:ascii="Times" w:hAnsi="Times" w:cs="Times"/>
          <w:sz w:val="20"/>
          <w:szCs w:val="20"/>
        </w:rPr>
        <w:t xml:space="preserve"> and Robert A. Taggart, Jr., “Evaluation of Capital Expenditure Proposals </w:t>
      </w:r>
      <w:proofErr w:type="gramStart"/>
      <w:r>
        <w:rPr>
          <w:rFonts w:ascii="Times" w:hAnsi="Times" w:cs="Times"/>
          <w:sz w:val="20"/>
          <w:szCs w:val="20"/>
        </w:rPr>
        <w:t>Under</w:t>
      </w:r>
      <w:proofErr w:type="gramEnd"/>
      <w:r>
        <w:rPr>
          <w:rFonts w:ascii="Times" w:hAnsi="Times" w:cs="Times"/>
          <w:sz w:val="20"/>
          <w:szCs w:val="20"/>
        </w:rPr>
        <w:t xml:space="preserve"> Inflation,” </w:t>
      </w:r>
      <w:r>
        <w:rPr>
          <w:rFonts w:ascii="Times New Roman" w:hAnsi="Times New Roman"/>
          <w:b/>
          <w:bCs/>
          <w:i/>
          <w:iCs/>
          <w:sz w:val="20"/>
          <w:szCs w:val="20"/>
        </w:rPr>
        <w:t>Financial Management</w:t>
      </w:r>
      <w:r>
        <w:rPr>
          <w:rFonts w:ascii="Times" w:hAnsi="Times" w:cs="Times"/>
          <w:sz w:val="20"/>
          <w:szCs w:val="20"/>
        </w:rPr>
        <w:t>, Spring 1982, pp. 5-13.</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57" w:lineRule="exact"/>
        <w:rPr>
          <w:rFonts w:ascii="Times" w:hAnsi="Times" w:cs="Times"/>
          <w:sz w:val="20"/>
          <w:szCs w:val="20"/>
        </w:rPr>
      </w:pPr>
    </w:p>
    <w:p w:rsidR="00EA749C" w:rsidRDefault="007A1480">
      <w:pPr>
        <w:widowControl w:val="0"/>
        <w:numPr>
          <w:ilvl w:val="0"/>
          <w:numId w:val="5"/>
        </w:numPr>
        <w:tabs>
          <w:tab w:val="clear" w:pos="720"/>
          <w:tab w:val="num" w:pos="380"/>
        </w:tabs>
        <w:overflowPunct w:val="0"/>
        <w:autoSpaceDE w:val="0"/>
        <w:autoSpaceDN w:val="0"/>
        <w:adjustRightInd w:val="0"/>
        <w:spacing w:after="0" w:line="242" w:lineRule="auto"/>
        <w:ind w:left="380" w:right="20"/>
        <w:jc w:val="both"/>
        <w:rPr>
          <w:rFonts w:ascii="Times" w:hAnsi="Times" w:cs="Times"/>
          <w:sz w:val="20"/>
          <w:szCs w:val="20"/>
        </w:rPr>
      </w:pPr>
      <w:r>
        <w:rPr>
          <w:rFonts w:ascii="Times" w:hAnsi="Times" w:cs="Times"/>
          <w:sz w:val="20"/>
          <w:szCs w:val="20"/>
        </w:rPr>
        <w:t xml:space="preserve">A. Shapiro, “Optimal Inventory and Credit Granting Strategies under Inflation and Devaluation,” </w:t>
      </w:r>
      <w:r>
        <w:rPr>
          <w:rFonts w:ascii="Times New Roman" w:hAnsi="Times New Roman"/>
          <w:b/>
          <w:bCs/>
          <w:i/>
          <w:iCs/>
          <w:sz w:val="20"/>
          <w:szCs w:val="20"/>
        </w:rPr>
        <w:t>Journal Of</w:t>
      </w:r>
      <w:r>
        <w:rPr>
          <w:rFonts w:ascii="Times" w:hAnsi="Times" w:cs="Times"/>
          <w:sz w:val="20"/>
          <w:szCs w:val="20"/>
        </w:rPr>
        <w:t xml:space="preserve"> </w:t>
      </w:r>
      <w:r>
        <w:rPr>
          <w:rFonts w:ascii="Times New Roman" w:hAnsi="Times New Roman"/>
          <w:b/>
          <w:bCs/>
          <w:i/>
          <w:iCs/>
          <w:sz w:val="20"/>
          <w:szCs w:val="20"/>
        </w:rPr>
        <w:t>Financial And Quantitative Analysis</w:t>
      </w:r>
      <w:r>
        <w:rPr>
          <w:rFonts w:ascii="Times" w:hAnsi="Times" w:cs="Times"/>
          <w:sz w:val="20"/>
          <w:szCs w:val="20"/>
        </w:rPr>
        <w:t>, January 1973, pp. 37-46.</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56" w:lineRule="exact"/>
        <w:rPr>
          <w:rFonts w:ascii="Times" w:hAnsi="Times" w:cs="Times"/>
          <w:sz w:val="20"/>
          <w:szCs w:val="20"/>
        </w:rPr>
      </w:pPr>
    </w:p>
    <w:p w:rsidR="00EA749C" w:rsidRDefault="007A1480">
      <w:pPr>
        <w:widowControl w:val="0"/>
        <w:numPr>
          <w:ilvl w:val="0"/>
          <w:numId w:val="5"/>
        </w:numPr>
        <w:tabs>
          <w:tab w:val="clear" w:pos="720"/>
          <w:tab w:val="num" w:pos="380"/>
        </w:tabs>
        <w:overflowPunct w:val="0"/>
        <w:autoSpaceDE w:val="0"/>
        <w:autoSpaceDN w:val="0"/>
        <w:adjustRightInd w:val="0"/>
        <w:spacing w:after="0" w:line="242" w:lineRule="auto"/>
        <w:ind w:left="380" w:right="20"/>
        <w:jc w:val="both"/>
        <w:rPr>
          <w:rFonts w:ascii="Times" w:hAnsi="Times" w:cs="Times"/>
          <w:sz w:val="20"/>
          <w:szCs w:val="20"/>
        </w:rPr>
      </w:pPr>
      <w:r>
        <w:rPr>
          <w:rFonts w:ascii="Times" w:hAnsi="Times" w:cs="Times"/>
          <w:sz w:val="20"/>
          <w:szCs w:val="20"/>
        </w:rPr>
        <w:t xml:space="preserve">James C. Van Horne, “A Note on Biases in Capital Budgeting Introduced by Inflation,” </w:t>
      </w:r>
      <w:r>
        <w:rPr>
          <w:rFonts w:ascii="Times New Roman" w:hAnsi="Times New Roman"/>
          <w:b/>
          <w:bCs/>
          <w:i/>
          <w:iCs/>
          <w:sz w:val="20"/>
          <w:szCs w:val="20"/>
        </w:rPr>
        <w:t>Journal Of Financial And</w:t>
      </w:r>
      <w:r>
        <w:rPr>
          <w:rFonts w:ascii="Times" w:hAnsi="Times" w:cs="Times"/>
          <w:sz w:val="20"/>
          <w:szCs w:val="20"/>
        </w:rPr>
        <w:t xml:space="preserve"> </w:t>
      </w:r>
      <w:r>
        <w:rPr>
          <w:rFonts w:ascii="Times New Roman" w:hAnsi="Times New Roman"/>
          <w:b/>
          <w:bCs/>
          <w:i/>
          <w:iCs/>
          <w:sz w:val="20"/>
          <w:szCs w:val="20"/>
        </w:rPr>
        <w:t>Quantitative Analysis</w:t>
      </w:r>
      <w:r>
        <w:rPr>
          <w:rFonts w:ascii="Times" w:hAnsi="Times" w:cs="Times"/>
          <w:sz w:val="20"/>
          <w:szCs w:val="20"/>
        </w:rPr>
        <w:t>, March 1971, pp. 653-658.</w:t>
      </w:r>
      <w:r>
        <w:rPr>
          <w:rFonts w:ascii="Times New Roman" w:hAnsi="Times New Roman"/>
          <w:b/>
          <w:bCs/>
          <w:i/>
          <w:iCs/>
          <w:sz w:val="20"/>
          <w:szCs w:val="20"/>
        </w:rPr>
        <w:t xml:space="preserve"> </w:t>
      </w:r>
    </w:p>
    <w:p w:rsidR="00EA749C" w:rsidRDefault="00EA749C">
      <w:pPr>
        <w:widowControl w:val="0"/>
        <w:autoSpaceDE w:val="0"/>
        <w:autoSpaceDN w:val="0"/>
        <w:adjustRightInd w:val="0"/>
        <w:spacing w:after="0" w:line="257" w:lineRule="exact"/>
        <w:rPr>
          <w:rFonts w:ascii="Times" w:hAnsi="Times" w:cs="Times"/>
          <w:sz w:val="20"/>
          <w:szCs w:val="20"/>
        </w:rPr>
      </w:pPr>
    </w:p>
    <w:p w:rsidR="00EA749C" w:rsidRDefault="007A1480">
      <w:pPr>
        <w:widowControl w:val="0"/>
        <w:numPr>
          <w:ilvl w:val="0"/>
          <w:numId w:val="5"/>
        </w:numPr>
        <w:tabs>
          <w:tab w:val="clear" w:pos="720"/>
          <w:tab w:val="num" w:pos="380"/>
        </w:tabs>
        <w:overflowPunct w:val="0"/>
        <w:autoSpaceDE w:val="0"/>
        <w:autoSpaceDN w:val="0"/>
        <w:adjustRightInd w:val="0"/>
        <w:spacing w:after="0" w:line="246" w:lineRule="auto"/>
        <w:ind w:left="380" w:right="20"/>
        <w:jc w:val="both"/>
        <w:rPr>
          <w:rFonts w:ascii="Times" w:hAnsi="Times" w:cs="Times"/>
          <w:sz w:val="20"/>
          <w:szCs w:val="20"/>
        </w:rPr>
      </w:pPr>
      <w:r>
        <w:rPr>
          <w:rFonts w:ascii="Times" w:hAnsi="Times" w:cs="Times"/>
          <w:sz w:val="20"/>
          <w:szCs w:val="20"/>
        </w:rPr>
        <w:t xml:space="preserve">John C. Woods and Maury R. Randall, “The Net Present Value of Future Investment Opportunities: </w:t>
      </w:r>
      <w:proofErr w:type="gramStart"/>
      <w:r>
        <w:rPr>
          <w:rFonts w:ascii="Times" w:hAnsi="Times" w:cs="Times"/>
          <w:sz w:val="20"/>
          <w:szCs w:val="20"/>
        </w:rPr>
        <w:t>Its</w:t>
      </w:r>
      <w:proofErr w:type="gramEnd"/>
      <w:r>
        <w:rPr>
          <w:rFonts w:ascii="Times" w:hAnsi="Times" w:cs="Times"/>
          <w:sz w:val="20"/>
          <w:szCs w:val="20"/>
        </w:rPr>
        <w:t xml:space="preserve"> Impact on Shareholder Wealth and Implications for Capital Budgeting Theory,” </w:t>
      </w:r>
      <w:r>
        <w:rPr>
          <w:rFonts w:ascii="Times New Roman" w:hAnsi="Times New Roman"/>
          <w:b/>
          <w:bCs/>
          <w:i/>
          <w:iCs/>
          <w:sz w:val="20"/>
          <w:szCs w:val="20"/>
        </w:rPr>
        <w:t>Financial Management</w:t>
      </w:r>
      <w:r>
        <w:rPr>
          <w:rFonts w:ascii="Times" w:hAnsi="Times" w:cs="Times"/>
          <w:sz w:val="20"/>
          <w:szCs w:val="20"/>
        </w:rPr>
        <w:t xml:space="preserve">, Summer 1989, pp. 85-92. </w:t>
      </w:r>
    </w:p>
    <w:p w:rsidR="00EA749C" w:rsidRDefault="00EA749C">
      <w:pPr>
        <w:widowControl w:val="0"/>
        <w:autoSpaceDE w:val="0"/>
        <w:autoSpaceDN w:val="0"/>
        <w:adjustRightInd w:val="0"/>
        <w:spacing w:after="0" w:line="240" w:lineRule="auto"/>
        <w:rPr>
          <w:rFonts w:ascii="Times New Roman" w:hAnsi="Times New Roman"/>
          <w:sz w:val="24"/>
          <w:szCs w:val="24"/>
        </w:rPr>
      </w:pPr>
    </w:p>
    <w:sectPr w:rsidR="00EA749C" w:rsidSect="00EA749C">
      <w:pgSz w:w="12240" w:h="15840"/>
      <w:pgMar w:top="724" w:right="1060" w:bottom="1440" w:left="1780" w:header="720" w:footer="720" w:gutter="0"/>
      <w:cols w:space="720" w:equalWidth="0">
        <w:col w:w="9400"/>
      </w:cols>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20603050405020304"/>
    <w:charset w:val="00"/>
    <w:family w:val="roman"/>
    <w:pitch w:val="variable"/>
    <w:sig w:usb0="E0002AE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CD6"/>
    <w:multiLevelType w:val="hybridMultilevel"/>
    <w:tmpl w:val="000072AE"/>
    <w:lvl w:ilvl="0" w:tplc="0000695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5AF1"/>
    <w:multiLevelType w:val="hybridMultilevel"/>
    <w:tmpl w:val="000041BB"/>
    <w:lvl w:ilvl="0" w:tplc="000026E9">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F90"/>
    <w:multiLevelType w:val="hybridMultilevel"/>
    <w:tmpl w:val="00001649"/>
    <w:lvl w:ilvl="0" w:tplc="00006DF1">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784"/>
    <w:multiLevelType w:val="hybridMultilevel"/>
    <w:tmpl w:val="00004AE1"/>
    <w:lvl w:ilvl="0" w:tplc="00003D6C">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1480"/>
    <w:rsid w:val="00146481"/>
    <w:rsid w:val="005622AA"/>
    <w:rsid w:val="005C05E2"/>
    <w:rsid w:val="007976C0"/>
    <w:rsid w:val="007A1480"/>
    <w:rsid w:val="00EA749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49C"/>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2458</Words>
  <Characters>14014</Characters>
  <Application>Microsoft Office Word</Application>
  <DocSecurity>0</DocSecurity>
  <Lines>116</Lines>
  <Paragraphs>32</Paragraphs>
  <ScaleCrop>false</ScaleCrop>
  <Company/>
  <LinksUpToDate>false</LinksUpToDate>
  <CharactersWithSpaces>16440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 J Ilyas</cp:lastModifiedBy>
  <cp:revision>6</cp:revision>
  <dcterms:created xsi:type="dcterms:W3CDTF">2013-06-17T10:59:00Z</dcterms:created>
  <dcterms:modified xsi:type="dcterms:W3CDTF">2013-06-17T11:05:00Z</dcterms:modified>
</cp:coreProperties>
</file>