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FD3" w:rsidRPr="00E96542" w:rsidRDefault="00FE6876" w:rsidP="00E9654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96542">
        <w:rPr>
          <w:rFonts w:ascii="Times New Roman" w:hAnsi="Times New Roman" w:cs="Times New Roman"/>
          <w:b/>
          <w:sz w:val="40"/>
          <w:szCs w:val="40"/>
        </w:rPr>
        <w:t>TGG (some common transformations)</w:t>
      </w:r>
    </w:p>
    <w:p w:rsidR="00E96542" w:rsidRDefault="00FE6876" w:rsidP="00FE6876">
      <w:r w:rsidRPr="00FE6876">
        <w:t xml:space="preserve">  </w:t>
      </w:r>
    </w:p>
    <w:p w:rsidR="00FE6876" w:rsidRPr="00E96542" w:rsidRDefault="00E96542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</w:t>
      </w:r>
      <w:r w:rsidR="00FE6876" w:rsidRPr="00E96542">
        <w:rPr>
          <w:rFonts w:ascii="Times New Roman" w:hAnsi="Times New Roman" w:cs="Times New Roman"/>
          <w:sz w:val="24"/>
          <w:szCs w:val="24"/>
        </w:rPr>
        <w:t>Passive Agent deletion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Start"/>
      <w:r w:rsidRPr="00E96542">
        <w:rPr>
          <w:rFonts w:ascii="Times New Roman" w:hAnsi="Times New Roman" w:cs="Times New Roman"/>
          <w:sz w:val="24"/>
          <w:szCs w:val="24"/>
        </w:rPr>
        <w:t>someone</w:t>
      </w:r>
      <w:proofErr w:type="gramEnd"/>
      <w:r w:rsidRPr="00E96542">
        <w:rPr>
          <w:rFonts w:ascii="Times New Roman" w:hAnsi="Times New Roman" w:cs="Times New Roman"/>
          <w:sz w:val="24"/>
          <w:szCs w:val="24"/>
        </w:rPr>
        <w:t>] ate the cake.</w:t>
      </w:r>
    </w:p>
    <w:p w:rsidR="00560BCE" w:rsidRPr="00E96542" w:rsidRDefault="00FE6876" w:rsidP="00E96542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When the subject agent is not identified, we use an indefinite pronoun to fill the slot where it would appear in the deep structure</w:t>
      </w:r>
      <w:r w:rsidR="00E96542">
        <w:rPr>
          <w:rFonts w:ascii="Times New Roman" w:hAnsi="Times New Roman" w:cs="Times New Roman"/>
          <w:sz w:val="24"/>
          <w:szCs w:val="24"/>
        </w:rPr>
        <w:t>.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    The cake was eaten.</w:t>
      </w:r>
    </w:p>
    <w:p w:rsidR="00560BCE" w:rsidRPr="00E96542" w:rsidRDefault="00FE6876" w:rsidP="00E9654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In many instances we delete the agent in passive sentences</w:t>
      </w:r>
      <w:r w:rsidR="00E96542" w:rsidRPr="00E96542">
        <w:rPr>
          <w:rFonts w:ascii="Times New Roman" w:hAnsi="Times New Roman" w:cs="Times New Roman"/>
          <w:sz w:val="24"/>
          <w:szCs w:val="24"/>
        </w:rPr>
        <w:t xml:space="preserve">. </w:t>
      </w:r>
      <w:r w:rsidRPr="00E96542">
        <w:rPr>
          <w:rFonts w:ascii="Times New Roman" w:hAnsi="Times New Roman" w:cs="Times New Roman"/>
          <w:sz w:val="24"/>
          <w:szCs w:val="24"/>
        </w:rPr>
        <w:t>TGG proposes a deletion rule that eliminates a prepositional phrase containing the subject agent.</w:t>
      </w:r>
      <w:r w:rsidR="00E96542">
        <w:rPr>
          <w:rFonts w:ascii="Times New Roman" w:hAnsi="Times New Roman" w:cs="Times New Roman"/>
          <w:sz w:val="24"/>
          <w:szCs w:val="24"/>
        </w:rPr>
        <w:t xml:space="preserve"> </w:t>
      </w:r>
      <w:r w:rsidRPr="00E96542">
        <w:rPr>
          <w:rFonts w:ascii="Times New Roman" w:hAnsi="Times New Roman" w:cs="Times New Roman"/>
          <w:sz w:val="24"/>
          <w:szCs w:val="24"/>
        </w:rPr>
        <w:t>Hence, it can be said that a sentence has undergone two transformations</w:t>
      </w:r>
      <w:r w:rsidR="00E96542">
        <w:rPr>
          <w:rFonts w:ascii="Times New Roman" w:hAnsi="Times New Roman" w:cs="Times New Roman"/>
          <w:sz w:val="24"/>
          <w:szCs w:val="24"/>
        </w:rPr>
        <w:t>.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Passive &amp; Passive agent deletion (James Dale Williams, The teacher’s Grammar book, 2</w:t>
      </w:r>
      <w:r w:rsidRPr="00E9654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E96542">
        <w:rPr>
          <w:rFonts w:ascii="Times New Roman" w:hAnsi="Times New Roman" w:cs="Times New Roman"/>
          <w:sz w:val="24"/>
          <w:szCs w:val="24"/>
        </w:rPr>
        <w:t xml:space="preserve"> ed. Lawrence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Ehribaum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>, 2005)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2.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Extraposition</w:t>
      </w:r>
      <w:proofErr w:type="spellEnd"/>
    </w:p>
    <w:p w:rsidR="00560BCE" w:rsidRPr="00E96542" w:rsidRDefault="00FE6876" w:rsidP="00E9654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A construction (or transformation) in which a clause that acts a subject is moved (or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extraposed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>) to the end of the sentence.</w:t>
      </w:r>
      <w:r w:rsidR="00E96542">
        <w:rPr>
          <w:rFonts w:ascii="Times New Roman" w:hAnsi="Times New Roman" w:cs="Times New Roman"/>
          <w:sz w:val="24"/>
          <w:szCs w:val="24"/>
        </w:rPr>
        <w:t xml:space="preserve"> </w:t>
      </w:r>
      <w:r w:rsidRPr="00E96542">
        <w:rPr>
          <w:rFonts w:ascii="Times New Roman" w:hAnsi="Times New Roman" w:cs="Times New Roman"/>
          <w:sz w:val="24"/>
          <w:szCs w:val="24"/>
        </w:rPr>
        <w:t>It is replaced by dummy ‘it’ in the initial position</w:t>
      </w:r>
      <w:r w:rsidR="00E96542">
        <w:rPr>
          <w:rFonts w:ascii="Times New Roman" w:hAnsi="Times New Roman" w:cs="Times New Roman"/>
          <w:sz w:val="24"/>
          <w:szCs w:val="24"/>
        </w:rPr>
        <w:t>.</w:t>
      </w:r>
    </w:p>
    <w:p w:rsidR="00560BCE" w:rsidRPr="00E96542" w:rsidRDefault="00FE6876" w:rsidP="00E9654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extraposed</w:t>
      </w:r>
      <w:proofErr w:type="spellEnd"/>
      <w:r w:rsidR="00E96542">
        <w:rPr>
          <w:rFonts w:ascii="Times New Roman" w:hAnsi="Times New Roman" w:cs="Times New Roman"/>
          <w:sz w:val="24"/>
          <w:szCs w:val="24"/>
        </w:rPr>
        <w:t xml:space="preserve"> is</w:t>
      </w:r>
      <w:r w:rsidRPr="00E96542">
        <w:rPr>
          <w:rFonts w:ascii="Times New Roman" w:hAnsi="Times New Roman" w:cs="Times New Roman"/>
          <w:sz w:val="24"/>
          <w:szCs w:val="24"/>
        </w:rPr>
        <w:t xml:space="preserve"> sometimes called a postponed subject</w:t>
      </w:r>
    </w:p>
    <w:p w:rsidR="00560BCE" w:rsidRPr="00E96542" w:rsidRDefault="00FE6876" w:rsidP="00E9654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The use of ‘it’ as a </w:t>
      </w:r>
      <w:r w:rsidR="00E96542" w:rsidRPr="00E96542">
        <w:rPr>
          <w:rFonts w:ascii="Times New Roman" w:hAnsi="Times New Roman" w:cs="Times New Roman"/>
          <w:sz w:val="24"/>
          <w:szCs w:val="24"/>
        </w:rPr>
        <w:t xml:space="preserve">subject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 xml:space="preserve"> (or dummy subject) in sentences about time and weather (e.g. it is raining again) and in certain idioms (it’s ok).</w:t>
      </w:r>
    </w:p>
    <w:p w:rsidR="00560BCE" w:rsidRPr="00E96542" w:rsidRDefault="00FE6876" w:rsidP="00E9654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It is also known as ambient ‘it’ or empty ‘it’</w:t>
      </w:r>
      <w:r w:rsidR="00E96542" w:rsidRPr="00E96542">
        <w:rPr>
          <w:rFonts w:ascii="Times New Roman" w:hAnsi="Times New Roman" w:cs="Times New Roman"/>
          <w:sz w:val="24"/>
          <w:szCs w:val="24"/>
        </w:rPr>
        <w:t xml:space="preserve">. </w:t>
      </w:r>
      <w:r w:rsidRPr="00E96542">
        <w:rPr>
          <w:rFonts w:ascii="Times New Roman" w:hAnsi="Times New Roman" w:cs="Times New Roman"/>
          <w:sz w:val="24"/>
          <w:szCs w:val="24"/>
        </w:rPr>
        <w:t>Unlike the ordinary pronoun ‘it’ dummy ‘it’ refers to nothing at all.</w:t>
      </w:r>
      <w:r w:rsidR="00E96542" w:rsidRPr="00E96542">
        <w:rPr>
          <w:rFonts w:ascii="Times New Roman" w:hAnsi="Times New Roman" w:cs="Times New Roman"/>
          <w:sz w:val="24"/>
          <w:szCs w:val="24"/>
        </w:rPr>
        <w:t xml:space="preserve"> </w:t>
      </w:r>
      <w:r w:rsidRPr="00E96542">
        <w:rPr>
          <w:rFonts w:ascii="Times New Roman" w:hAnsi="Times New Roman" w:cs="Times New Roman"/>
          <w:sz w:val="24"/>
          <w:szCs w:val="24"/>
        </w:rPr>
        <w:t>It simply serves a grammatical function.</w:t>
      </w:r>
      <w:r w:rsidR="00E96542">
        <w:rPr>
          <w:rFonts w:ascii="Times New Roman" w:hAnsi="Times New Roman" w:cs="Times New Roman"/>
          <w:sz w:val="24"/>
          <w:szCs w:val="24"/>
        </w:rPr>
        <w:t xml:space="preserve"> </w:t>
      </w:r>
      <w:r w:rsidRPr="00E96542">
        <w:rPr>
          <w:rFonts w:ascii="Times New Roman" w:hAnsi="Times New Roman" w:cs="Times New Roman"/>
          <w:sz w:val="24"/>
          <w:szCs w:val="24"/>
        </w:rPr>
        <w:t>In simple words, dummy ‘it’ has a grammatical meaning but no lexical meaning.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3. End – Focus</w:t>
      </w:r>
    </w:p>
    <w:p w:rsidR="00560BCE" w:rsidRPr="00E96542" w:rsidRDefault="00FE6876" w:rsidP="00E9654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It is the principle that states that the most important information in a clause or a sentence is placed at the end.</w:t>
      </w:r>
    </w:p>
    <w:p w:rsidR="00560BCE" w:rsidRPr="00E96542" w:rsidRDefault="00FE6876" w:rsidP="00E9654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End-focus is a normal characteristic of sentence structure in English </w:t>
      </w:r>
    </w:p>
    <w:p w:rsidR="00FE6876" w:rsidRPr="00E96542" w:rsidRDefault="00FE6876" w:rsidP="00E9654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Example: In the sentence, “ Sean Connery was born in Scotland” the last open- class item is the noun ‘Scotland’</w:t>
      </w:r>
    </w:p>
    <w:p w:rsidR="00FE6876" w:rsidRPr="00E96542" w:rsidRDefault="00FE6876" w:rsidP="00E9654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By default it is the focus, the new piece of information in this sentence.</w:t>
      </w:r>
    </w:p>
    <w:p w:rsidR="00FE6876" w:rsidRPr="00E96542" w:rsidRDefault="00FE6876" w:rsidP="00E9654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Sean Connery is the topic (subject) </w:t>
      </w:r>
    </w:p>
    <w:p w:rsidR="00FE6876" w:rsidRPr="00E96542" w:rsidRDefault="00FE6876" w:rsidP="00E9654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It is an old piece of information on which the speaker makes some comment. </w:t>
      </w:r>
    </w:p>
    <w:p w:rsidR="00560BCE" w:rsidRPr="00E96542" w:rsidRDefault="00FE6876" w:rsidP="00E9654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lastRenderedPageBreak/>
        <w:t>The old information is generally placed in the subject, whereas new information is put in predicate.</w:t>
      </w:r>
    </w:p>
    <w:p w:rsidR="00560BCE" w:rsidRPr="00E96542" w:rsidRDefault="00FE6876" w:rsidP="00E9654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bCs/>
          <w:sz w:val="24"/>
          <w:szCs w:val="24"/>
        </w:rPr>
        <w:t>End focusing processes that produce marked end focus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E96542">
        <w:rPr>
          <w:rFonts w:ascii="Times New Roman" w:hAnsi="Times New Roman" w:cs="Times New Roman"/>
          <w:sz w:val="24"/>
          <w:szCs w:val="24"/>
        </w:rPr>
        <w:t xml:space="preserve">Parked right outside our front door last night </w:t>
      </w:r>
      <w:proofErr w:type="gramStart"/>
      <w:r w:rsidRPr="00E96542">
        <w:rPr>
          <w:rFonts w:ascii="Times New Roman" w:hAnsi="Times New Roman" w:cs="Times New Roman"/>
          <w:sz w:val="24"/>
          <w:szCs w:val="24"/>
        </w:rPr>
        <w:t>it  was</w:t>
      </w:r>
      <w:proofErr w:type="gramEnd"/>
      <w:r w:rsidRPr="00E96542">
        <w:rPr>
          <w:rFonts w:ascii="Times New Roman" w:hAnsi="Times New Roman" w:cs="Times New Roman"/>
          <w:sz w:val="24"/>
          <w:szCs w:val="24"/>
        </w:rPr>
        <w:t xml:space="preserve"> </w:t>
      </w:r>
      <w:r w:rsidRPr="00E96542">
        <w:rPr>
          <w:rFonts w:ascii="Times New Roman" w:hAnsi="Times New Roman" w:cs="Times New Roman"/>
          <w:sz w:val="24"/>
          <w:szCs w:val="24"/>
          <w:u w:val="single"/>
        </w:rPr>
        <w:t>a large furniture van</w:t>
      </w:r>
      <w:r w:rsidRPr="00E9654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60BCE" w:rsidRPr="00E96542" w:rsidRDefault="00FE6876" w:rsidP="00E9654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Someone parked a large furniture van last night </w:t>
      </w:r>
      <w:r w:rsidRPr="00E96542">
        <w:rPr>
          <w:rFonts w:ascii="Times New Roman" w:hAnsi="Times New Roman" w:cs="Times New Roman"/>
          <w:sz w:val="24"/>
          <w:szCs w:val="24"/>
          <w:u w:val="single"/>
        </w:rPr>
        <w:t>right outside our front door.</w:t>
      </w:r>
    </w:p>
    <w:p w:rsidR="00560BCE" w:rsidRPr="00E96542" w:rsidRDefault="00FE6876" w:rsidP="00E9654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A large furniture van, right outside our front door last night, </w:t>
      </w:r>
      <w:r w:rsidRPr="00E96542">
        <w:rPr>
          <w:rFonts w:ascii="Times New Roman" w:hAnsi="Times New Roman" w:cs="Times New Roman"/>
          <w:sz w:val="24"/>
          <w:szCs w:val="24"/>
          <w:u w:val="single"/>
        </w:rPr>
        <w:t>parked</w:t>
      </w:r>
    </w:p>
    <w:p w:rsidR="00560BCE" w:rsidRPr="00E96542" w:rsidRDefault="00FE6876" w:rsidP="00E9654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Some end focuses clearly more marked than others – readers can confirm by reading – by looking at the intonation patterns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4. </w:t>
      </w:r>
      <w:r w:rsidRPr="00E96542">
        <w:rPr>
          <w:rFonts w:ascii="Times New Roman" w:hAnsi="Times New Roman" w:cs="Times New Roman"/>
          <w:bCs/>
          <w:sz w:val="24"/>
          <w:szCs w:val="24"/>
        </w:rPr>
        <w:t xml:space="preserve">End focus and Genitives </w:t>
      </w:r>
      <w:proofErr w:type="gramStart"/>
      <w:r w:rsidRPr="00E96542">
        <w:rPr>
          <w:rFonts w:ascii="Times New Roman" w:hAnsi="Times New Roman" w:cs="Times New Roman"/>
          <w:bCs/>
          <w:sz w:val="24"/>
          <w:szCs w:val="24"/>
        </w:rPr>
        <w:t>( Possessive</w:t>
      </w:r>
      <w:proofErr w:type="gramEnd"/>
      <w:r w:rsidRPr="00E96542">
        <w:rPr>
          <w:rFonts w:ascii="Times New Roman" w:hAnsi="Times New Roman" w:cs="Times New Roman"/>
          <w:bCs/>
          <w:sz w:val="24"/>
          <w:szCs w:val="24"/>
        </w:rPr>
        <w:t xml:space="preserve"> forms)</w:t>
      </w:r>
    </w:p>
    <w:p w:rsidR="00560BCE" w:rsidRPr="00E96542" w:rsidRDefault="00FE6876" w:rsidP="00E9654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The choice between </w:t>
      </w:r>
      <w:proofErr w:type="gramStart"/>
      <w:r w:rsidRPr="00E96542">
        <w:rPr>
          <w:rFonts w:ascii="Times New Roman" w:hAnsi="Times New Roman" w:cs="Times New Roman"/>
          <w:sz w:val="24"/>
          <w:szCs w:val="24"/>
        </w:rPr>
        <w:t>the ‘s’</w:t>
      </w:r>
      <w:proofErr w:type="gramEnd"/>
      <w:r w:rsidRPr="00E96542">
        <w:rPr>
          <w:rFonts w:ascii="Times New Roman" w:hAnsi="Times New Roman" w:cs="Times New Roman"/>
          <w:sz w:val="24"/>
          <w:szCs w:val="24"/>
        </w:rPr>
        <w:t xml:space="preserve"> genitive and the ‘of’ genitive is determined by the principles of end focus and end weight.</w:t>
      </w:r>
    </w:p>
    <w:p w:rsidR="00560BCE" w:rsidRPr="00E96542" w:rsidRDefault="00FE6876" w:rsidP="00E9654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According to the principles, the more complex and communicatively more important constituents are placed towards the end of the NP</w:t>
      </w:r>
    </w:p>
    <w:p w:rsidR="00560BCE" w:rsidRPr="00E96542" w:rsidRDefault="00FE6876" w:rsidP="00E9654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Accordingly, the ‘s’ genitive should be preferred when the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possessum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 xml:space="preserve"> is more important than possessor, while the ‘of’ genitive should be preferred if the possessor is more communicatively important than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possessum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  Ali’s </w:t>
      </w:r>
      <w:proofErr w:type="gramStart"/>
      <w:r w:rsidRPr="00E96542">
        <w:rPr>
          <w:rFonts w:ascii="Times New Roman" w:hAnsi="Times New Roman" w:cs="Times New Roman"/>
          <w:sz w:val="24"/>
          <w:szCs w:val="24"/>
        </w:rPr>
        <w:t>chair  (</w:t>
      </w:r>
      <w:proofErr w:type="gramEnd"/>
      <w:r w:rsidRPr="00E96542">
        <w:rPr>
          <w:rFonts w:ascii="Times New Roman" w:hAnsi="Times New Roman" w:cs="Times New Roman"/>
          <w:sz w:val="24"/>
          <w:szCs w:val="24"/>
        </w:rPr>
        <w:t>Chair more important)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  Legs of the chair (chair more important)   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5.</w:t>
      </w:r>
      <w:r w:rsidRPr="00E96542">
        <w:rPr>
          <w:rFonts w:ascii="Times New Roman" w:hAnsi="Times New Roman" w:cs="Times New Roman"/>
          <w:bCs/>
          <w:sz w:val="24"/>
          <w:szCs w:val="24"/>
        </w:rPr>
        <w:t xml:space="preserve"> Reversed ‘</w:t>
      </w:r>
      <w:proofErr w:type="spellStart"/>
      <w:r w:rsidRPr="00E96542">
        <w:rPr>
          <w:rFonts w:ascii="Times New Roman" w:hAnsi="Times New Roman" w:cs="Times New Roman"/>
          <w:bCs/>
          <w:sz w:val="24"/>
          <w:szCs w:val="24"/>
        </w:rPr>
        <w:t>wh</w:t>
      </w:r>
      <w:proofErr w:type="spellEnd"/>
      <w:r w:rsidRPr="00E96542">
        <w:rPr>
          <w:rFonts w:ascii="Times New Roman" w:hAnsi="Times New Roman" w:cs="Times New Roman"/>
          <w:bCs/>
          <w:sz w:val="24"/>
          <w:szCs w:val="24"/>
        </w:rPr>
        <w:t>’ clefts</w:t>
      </w:r>
    </w:p>
    <w:p w:rsidR="00560BCE" w:rsidRPr="00E96542" w:rsidRDefault="00FE6876" w:rsidP="00E9654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Reversed ‘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 xml:space="preserve">’ clefts have main focus at the beginning of the first unit, not at the end after ‘be’ as in regular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>-clefts.</w:t>
      </w:r>
    </w:p>
    <w:p w:rsidR="00560BCE" w:rsidRPr="00E96542" w:rsidRDefault="00FE6876" w:rsidP="00E9654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Some combinations (that’s what /why/how/the way) are stereotyped as ‘the thing is / the problem is. </w:t>
      </w:r>
    </w:p>
    <w:p w:rsidR="00560BCE" w:rsidRPr="00E96542" w:rsidRDefault="00FE6876" w:rsidP="00E9654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All you need is love (regular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>- cleft)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   Love is all you need (reversed </w:t>
      </w:r>
      <w:proofErr w:type="spellStart"/>
      <w:proofErr w:type="gramStart"/>
      <w:r w:rsidRPr="00E96542">
        <w:rPr>
          <w:rFonts w:ascii="Times New Roman" w:hAnsi="Times New Roman" w:cs="Times New Roman"/>
          <w:sz w:val="24"/>
          <w:szCs w:val="24"/>
        </w:rPr>
        <w:t>wh</w:t>
      </w:r>
      <w:proofErr w:type="spellEnd"/>
      <w:proofErr w:type="gramEnd"/>
      <w:r w:rsidRPr="00E96542">
        <w:rPr>
          <w:rFonts w:ascii="Times New Roman" w:hAnsi="Times New Roman" w:cs="Times New Roman"/>
          <w:sz w:val="24"/>
          <w:szCs w:val="24"/>
        </w:rPr>
        <w:t>- cleft)</w:t>
      </w:r>
    </w:p>
    <w:p w:rsidR="00560BCE" w:rsidRPr="00E96542" w:rsidRDefault="00FE6876" w:rsidP="00E9654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What you should do is this (regular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 xml:space="preserve"> – cleft)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    This is what you should do (reversed </w:t>
      </w:r>
      <w:proofErr w:type="spellStart"/>
      <w:proofErr w:type="gramStart"/>
      <w:r w:rsidRPr="00E96542">
        <w:rPr>
          <w:rFonts w:ascii="Times New Roman" w:hAnsi="Times New Roman" w:cs="Times New Roman"/>
          <w:sz w:val="24"/>
          <w:szCs w:val="24"/>
        </w:rPr>
        <w:t>wh</w:t>
      </w:r>
      <w:proofErr w:type="spellEnd"/>
      <w:proofErr w:type="gramEnd"/>
      <w:r w:rsidRPr="00E96542">
        <w:rPr>
          <w:rFonts w:ascii="Times New Roman" w:hAnsi="Times New Roman" w:cs="Times New Roman"/>
          <w:sz w:val="24"/>
          <w:szCs w:val="24"/>
        </w:rPr>
        <w:t>- cleft)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</w:t>
      </w:r>
      <w:r w:rsidRPr="00E965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96542">
        <w:rPr>
          <w:rFonts w:ascii="Times New Roman" w:hAnsi="Times New Roman" w:cs="Times New Roman"/>
          <w:bCs/>
          <w:sz w:val="24"/>
          <w:szCs w:val="24"/>
        </w:rPr>
        <w:t>Wh</w:t>
      </w:r>
      <w:proofErr w:type="spellEnd"/>
      <w:proofErr w:type="gramEnd"/>
      <w:r w:rsidRPr="00E96542">
        <w:rPr>
          <w:rFonts w:ascii="Times New Roman" w:hAnsi="Times New Roman" w:cs="Times New Roman"/>
          <w:bCs/>
          <w:sz w:val="24"/>
          <w:szCs w:val="24"/>
        </w:rPr>
        <w:t xml:space="preserve"> – movement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6542">
        <w:rPr>
          <w:rFonts w:ascii="Times New Roman" w:hAnsi="Times New Roman" w:cs="Times New Roman"/>
          <w:bCs/>
          <w:sz w:val="24"/>
          <w:szCs w:val="24"/>
        </w:rPr>
        <w:t xml:space="preserve">   S – </w:t>
      </w:r>
      <w:proofErr w:type="gramStart"/>
      <w:r w:rsidRPr="00E96542">
        <w:rPr>
          <w:rFonts w:ascii="Times New Roman" w:hAnsi="Times New Roman" w:cs="Times New Roman"/>
          <w:bCs/>
          <w:sz w:val="24"/>
          <w:szCs w:val="24"/>
        </w:rPr>
        <w:t>structure</w:t>
      </w:r>
      <w:proofErr w:type="gramEnd"/>
    </w:p>
    <w:p w:rsidR="00560BCE" w:rsidRPr="00E96542" w:rsidRDefault="00FE6876" w:rsidP="00E9654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6542">
        <w:rPr>
          <w:rFonts w:ascii="Times New Roman" w:hAnsi="Times New Roman" w:cs="Times New Roman"/>
          <w:bCs/>
          <w:sz w:val="24"/>
          <w:szCs w:val="24"/>
        </w:rPr>
        <w:t xml:space="preserve">   Who will John see?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6542">
        <w:rPr>
          <w:rFonts w:ascii="Times New Roman" w:hAnsi="Times New Roman" w:cs="Times New Roman"/>
          <w:bCs/>
          <w:sz w:val="24"/>
          <w:szCs w:val="24"/>
        </w:rPr>
        <w:t xml:space="preserve">      John will see who?</w:t>
      </w:r>
    </w:p>
    <w:p w:rsidR="00560BCE" w:rsidRPr="00E96542" w:rsidRDefault="00FE6876" w:rsidP="00E9654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654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What will Ali play?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6542">
        <w:rPr>
          <w:rFonts w:ascii="Times New Roman" w:hAnsi="Times New Roman" w:cs="Times New Roman"/>
          <w:bCs/>
          <w:sz w:val="24"/>
          <w:szCs w:val="24"/>
        </w:rPr>
        <w:t xml:space="preserve">        Ali will play what?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Sentence transformations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Grammatically correct sentences (correctness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96542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E96542">
        <w:rPr>
          <w:rFonts w:ascii="Times New Roman" w:hAnsi="Times New Roman" w:cs="Times New Roman"/>
          <w:sz w:val="24"/>
          <w:szCs w:val="24"/>
        </w:rPr>
        <w:t xml:space="preserve"> term of grammar</w:t>
      </w:r>
    </w:p>
    <w:p w:rsidR="00560BCE" w:rsidRPr="00E96542" w:rsidRDefault="00FE6876" w:rsidP="00E9654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It is possible for a sentence to be both grammatically correct and meaningless</w:t>
      </w:r>
      <w:r w:rsidR="00E96542">
        <w:rPr>
          <w:rFonts w:ascii="Times New Roman" w:hAnsi="Times New Roman" w:cs="Times New Roman"/>
          <w:sz w:val="24"/>
          <w:szCs w:val="24"/>
        </w:rPr>
        <w:t>.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96542">
        <w:rPr>
          <w:rFonts w:ascii="Times New Roman" w:hAnsi="Times New Roman" w:cs="Times New Roman"/>
          <w:sz w:val="24"/>
          <w:szCs w:val="24"/>
        </w:rPr>
        <w:t>e.g</w:t>
      </w:r>
      <w:proofErr w:type="gramEnd"/>
      <w:r w:rsidRPr="00E965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6542">
        <w:rPr>
          <w:rFonts w:ascii="Times New Roman" w:hAnsi="Times New Roman" w:cs="Times New Roman"/>
          <w:sz w:val="24"/>
          <w:szCs w:val="24"/>
        </w:rPr>
        <w:t>Colourless</w:t>
      </w:r>
      <w:proofErr w:type="spellEnd"/>
      <w:r w:rsidRPr="00E96542">
        <w:rPr>
          <w:rFonts w:ascii="Times New Roman" w:hAnsi="Times New Roman" w:cs="Times New Roman"/>
          <w:sz w:val="24"/>
          <w:szCs w:val="24"/>
        </w:rPr>
        <w:t xml:space="preserve"> green ideas sleep furiously (Chomsky)</w:t>
      </w:r>
    </w:p>
    <w:p w:rsidR="00560BCE" w:rsidRPr="00E96542" w:rsidRDefault="00FE6876" w:rsidP="00E96542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The above sentence is grammatically correct but carries no proper meaning.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 xml:space="preserve">   Man bit snake bit the</w:t>
      </w:r>
    </w:p>
    <w:p w:rsidR="00560BCE" w:rsidRPr="00E96542" w:rsidRDefault="00FE6876" w:rsidP="00E96542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The meaning is clear no native speaker would accept it as a well-formed sentence</w:t>
      </w:r>
      <w:r w:rsidR="00E96542">
        <w:rPr>
          <w:rFonts w:ascii="Times New Roman" w:hAnsi="Times New Roman" w:cs="Times New Roman"/>
          <w:sz w:val="24"/>
          <w:szCs w:val="24"/>
        </w:rPr>
        <w:t>.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42">
        <w:rPr>
          <w:rFonts w:ascii="Times New Roman" w:hAnsi="Times New Roman" w:cs="Times New Roman"/>
          <w:sz w:val="24"/>
          <w:szCs w:val="24"/>
        </w:rPr>
        <w:t>So sentences have to be grammatically correct and meaning</w:t>
      </w:r>
      <w:r w:rsidR="00E96542">
        <w:rPr>
          <w:rFonts w:ascii="Times New Roman" w:hAnsi="Times New Roman" w:cs="Times New Roman"/>
          <w:sz w:val="24"/>
          <w:szCs w:val="24"/>
        </w:rPr>
        <w:t>ful</w:t>
      </w:r>
      <w:r w:rsidRPr="00E96542">
        <w:rPr>
          <w:rFonts w:ascii="Times New Roman" w:hAnsi="Times New Roman" w:cs="Times New Roman"/>
          <w:sz w:val="24"/>
          <w:szCs w:val="24"/>
        </w:rPr>
        <w:t xml:space="preserve"> to be used and accepted</w:t>
      </w:r>
      <w:r w:rsidR="00E96542">
        <w:rPr>
          <w:rFonts w:ascii="Times New Roman" w:hAnsi="Times New Roman" w:cs="Times New Roman"/>
          <w:sz w:val="24"/>
          <w:szCs w:val="24"/>
        </w:rPr>
        <w:t>.</w:t>
      </w:r>
    </w:p>
    <w:p w:rsidR="00560BCE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96542">
        <w:rPr>
          <w:rFonts w:ascii="Times New Roman" w:hAnsi="Times New Roman" w:cs="Times New Roman"/>
          <w:sz w:val="24"/>
          <w:szCs w:val="24"/>
        </w:rPr>
        <w:t xml:space="preserve">Chomsky is clear that a generative grammar models only the knowledge that underlies the human ability to speak and understand. </w:t>
      </w: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876" w:rsidRPr="00E96542" w:rsidRDefault="00FE6876" w:rsidP="00E965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E6876" w:rsidRPr="00E96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A63D3"/>
    <w:multiLevelType w:val="hybridMultilevel"/>
    <w:tmpl w:val="A09061D8"/>
    <w:lvl w:ilvl="0" w:tplc="132AA95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249E7A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2E888C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5EA5CE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CAED6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B08282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2C7090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3A24D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D474EE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E13F77"/>
    <w:multiLevelType w:val="hybridMultilevel"/>
    <w:tmpl w:val="156E77B0"/>
    <w:lvl w:ilvl="0" w:tplc="05EEB7DA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88989E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9497D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34270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D88F1E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F4926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80752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B69CC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182E26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1C64F7"/>
    <w:multiLevelType w:val="hybridMultilevel"/>
    <w:tmpl w:val="2FB23026"/>
    <w:lvl w:ilvl="0" w:tplc="84647C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7E5E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72770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1C0F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70182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38EE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3E844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CE69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8810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400D0C"/>
    <w:multiLevelType w:val="hybridMultilevel"/>
    <w:tmpl w:val="4ED8030C"/>
    <w:lvl w:ilvl="0" w:tplc="2E9A53F6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B8677A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22B21A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CE1B4E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08B9CA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F4CA2A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EC61F8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4EB6C4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E082B4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7926D2"/>
    <w:multiLevelType w:val="hybridMultilevel"/>
    <w:tmpl w:val="EAAC4B6A"/>
    <w:lvl w:ilvl="0" w:tplc="A56E19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6452C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EF6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5EAEE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38B8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A498E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BA7E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2C2E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0AF7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AD590F"/>
    <w:multiLevelType w:val="hybridMultilevel"/>
    <w:tmpl w:val="CF78D760"/>
    <w:lvl w:ilvl="0" w:tplc="124C3F0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FE2D14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529E7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DA2734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38C822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9C8C30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12392A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4416B8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46A1D2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DD27BC"/>
    <w:multiLevelType w:val="hybridMultilevel"/>
    <w:tmpl w:val="0D0CF83C"/>
    <w:lvl w:ilvl="0" w:tplc="DA30048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1E3A22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D2307E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2C5584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AC7444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5A3AD0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A319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565C56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60EB78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AA11CE"/>
    <w:multiLevelType w:val="hybridMultilevel"/>
    <w:tmpl w:val="8C680A3C"/>
    <w:lvl w:ilvl="0" w:tplc="F06E488C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6CF9B6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60B4D0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B234DE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ACD30E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600396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B44DBA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066C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5898E6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942036"/>
    <w:multiLevelType w:val="hybridMultilevel"/>
    <w:tmpl w:val="E9CA7B54"/>
    <w:lvl w:ilvl="0" w:tplc="A3C2D2EE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1E5642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4C99EC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5AE5C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14762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D86AB4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B68748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40EEF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AAC5BC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9F82F12"/>
    <w:multiLevelType w:val="hybridMultilevel"/>
    <w:tmpl w:val="1BB0A3A8"/>
    <w:lvl w:ilvl="0" w:tplc="E0F8401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B8AD80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80F630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A4EC86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1658D2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548F7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08D0FE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3C966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5C3F4C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A879AA"/>
    <w:multiLevelType w:val="hybridMultilevel"/>
    <w:tmpl w:val="80E09BE2"/>
    <w:lvl w:ilvl="0" w:tplc="96969298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A8524A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B200C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18580C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AAD82C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D2F114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210DE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488266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C451A4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F641B70"/>
    <w:multiLevelType w:val="hybridMultilevel"/>
    <w:tmpl w:val="B1DE04D2"/>
    <w:lvl w:ilvl="0" w:tplc="28AA8D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48C9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98BA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3845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6E8CF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E40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8C20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AE5F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8A60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1AD4A89"/>
    <w:multiLevelType w:val="hybridMultilevel"/>
    <w:tmpl w:val="6920869E"/>
    <w:lvl w:ilvl="0" w:tplc="C86C5AE0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180084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9EA1C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2CCDC8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484B2C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543B32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FC863C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FCAB8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5CADEE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3575A0"/>
    <w:multiLevelType w:val="hybridMultilevel"/>
    <w:tmpl w:val="7C30DEA4"/>
    <w:lvl w:ilvl="0" w:tplc="E356E4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F4A3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00601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46886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44B7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BEF41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C8F0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16714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20B9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C7D68C6"/>
    <w:multiLevelType w:val="hybridMultilevel"/>
    <w:tmpl w:val="A4084C64"/>
    <w:lvl w:ilvl="0" w:tplc="00063BA4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A04E40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3C755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AC097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A670D2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148538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A8CB7A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C2CC26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4E5940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B346EFE"/>
    <w:multiLevelType w:val="hybridMultilevel"/>
    <w:tmpl w:val="ADFC148C"/>
    <w:lvl w:ilvl="0" w:tplc="82DA43F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A87594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98F5E8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90AA4C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5A578E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10B8B6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1827BC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F8407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CE5B46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F945314"/>
    <w:multiLevelType w:val="hybridMultilevel"/>
    <w:tmpl w:val="E89C5E60"/>
    <w:lvl w:ilvl="0" w:tplc="FE4C5CF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52E99E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722B72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504E02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AAB100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0E2BD4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282022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0CA7F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403E5E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D16BDE"/>
    <w:multiLevelType w:val="hybridMultilevel"/>
    <w:tmpl w:val="EE54A586"/>
    <w:lvl w:ilvl="0" w:tplc="922643F4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EE8160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549420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5C1158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0E928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A6D764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70F094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E0DD2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0E4CB4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FA0844"/>
    <w:multiLevelType w:val="hybridMultilevel"/>
    <w:tmpl w:val="A27ACD9E"/>
    <w:lvl w:ilvl="0" w:tplc="DC229758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2E2EAE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76C73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C4F09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AC260A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44B6B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6111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E8F1F6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BE4656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5A6AD2"/>
    <w:multiLevelType w:val="hybridMultilevel"/>
    <w:tmpl w:val="9E8AAC66"/>
    <w:lvl w:ilvl="0" w:tplc="3FC499EC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DA9446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60C70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10A990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D6FA04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FC1BB8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A6840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BEA346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A87A20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8"/>
  </w:num>
  <w:num w:numId="4">
    <w:abstractNumId w:val="10"/>
  </w:num>
  <w:num w:numId="5">
    <w:abstractNumId w:val="19"/>
  </w:num>
  <w:num w:numId="6">
    <w:abstractNumId w:val="15"/>
  </w:num>
  <w:num w:numId="7">
    <w:abstractNumId w:val="7"/>
  </w:num>
  <w:num w:numId="8">
    <w:abstractNumId w:val="9"/>
  </w:num>
  <w:num w:numId="9">
    <w:abstractNumId w:val="3"/>
  </w:num>
  <w:num w:numId="10">
    <w:abstractNumId w:val="8"/>
  </w:num>
  <w:num w:numId="11">
    <w:abstractNumId w:val="5"/>
  </w:num>
  <w:num w:numId="12">
    <w:abstractNumId w:val="0"/>
  </w:num>
  <w:num w:numId="13">
    <w:abstractNumId w:val="13"/>
  </w:num>
  <w:num w:numId="14">
    <w:abstractNumId w:val="2"/>
  </w:num>
  <w:num w:numId="15">
    <w:abstractNumId w:val="4"/>
  </w:num>
  <w:num w:numId="16">
    <w:abstractNumId w:val="11"/>
  </w:num>
  <w:num w:numId="17">
    <w:abstractNumId w:val="16"/>
  </w:num>
  <w:num w:numId="18">
    <w:abstractNumId w:val="14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876"/>
    <w:rsid w:val="000B3FD3"/>
    <w:rsid w:val="00560BCE"/>
    <w:rsid w:val="00E96542"/>
    <w:rsid w:val="00FE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87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E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87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E6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729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168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095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492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4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50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781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985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390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855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75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4935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500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0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939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575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676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933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225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843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567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7507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1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4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741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2865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897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629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700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457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396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714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3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474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885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2</cp:revision>
  <dcterms:created xsi:type="dcterms:W3CDTF">2014-01-09T16:33:00Z</dcterms:created>
  <dcterms:modified xsi:type="dcterms:W3CDTF">2014-01-11T11:15:00Z</dcterms:modified>
</cp:coreProperties>
</file>